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5"/>
        <w:spacing w:line="600" w:lineRule="exact"/>
        <w:ind w:right="62" w:firstLine="0" w:firstLineChars="0"/>
        <w:jc w:val="left"/>
        <w:rPr>
          <w:rFonts w:ascii="Times New Roman" w:hAnsi="Times New Roman" w:eastAsia="黑体"/>
          <w:color w:val="auto"/>
          <w:szCs w:val="32"/>
        </w:rPr>
      </w:pPr>
      <w:r>
        <w:rPr>
          <w:rFonts w:ascii="Times New Roman" w:hAnsi="Times New Roman" w:eastAsia="黑体"/>
          <w:color w:val="auto"/>
          <w:szCs w:val="32"/>
        </w:rPr>
        <w:t>附件3：</w:t>
      </w:r>
    </w:p>
    <w:p>
      <w:pPr>
        <w:ind w:firstLine="0" w:firstLineChars="0"/>
        <w:rPr>
          <w:rFonts w:cs="仿宋_GB2312"/>
          <w:color w:val="auto"/>
          <w:kern w:val="0"/>
          <w:szCs w:val="32"/>
          <w:lang w:bidi="ar"/>
        </w:rPr>
      </w:pPr>
    </w:p>
    <w:p>
      <w:pPr>
        <w:pStyle w:val="15"/>
        <w:spacing w:line="600" w:lineRule="exact"/>
        <w:ind w:right="62" w:firstLine="0" w:firstLineChars="0"/>
        <w:jc w:val="center"/>
        <w:rPr>
          <w:rFonts w:ascii="Times New Roman" w:hAnsi="Times New Roman" w:eastAsia="宋体"/>
          <w:b/>
          <w:bCs/>
          <w:color w:val="auto"/>
          <w:sz w:val="44"/>
          <w:szCs w:val="36"/>
        </w:rPr>
      </w:pPr>
      <w:r>
        <w:rPr>
          <w:rFonts w:ascii="Times New Roman" w:hAnsi="Times New Roman" w:eastAsia="宋体"/>
          <w:b/>
          <w:bCs/>
          <w:color w:val="auto"/>
          <w:sz w:val="44"/>
          <w:szCs w:val="36"/>
        </w:rPr>
        <w:t>20</w:t>
      </w:r>
      <w:r>
        <w:rPr>
          <w:rFonts w:hint="eastAsia" w:ascii="Times New Roman" w:hAnsi="Times New Roman" w:eastAsia="宋体"/>
          <w:b/>
          <w:bCs/>
          <w:color w:val="auto"/>
          <w:sz w:val="44"/>
          <w:szCs w:val="36"/>
        </w:rPr>
        <w:t>2</w:t>
      </w:r>
      <w:r>
        <w:rPr>
          <w:rFonts w:hint="eastAsia" w:ascii="Times New Roman" w:hAnsi="Times New Roman" w:eastAsia="宋体"/>
          <w:b/>
          <w:bCs/>
          <w:color w:val="auto"/>
          <w:sz w:val="44"/>
          <w:szCs w:val="36"/>
          <w:lang w:val="en-US" w:eastAsia="zh-CN"/>
        </w:rPr>
        <w:t>1</w:t>
      </w:r>
      <w:r>
        <w:rPr>
          <w:rFonts w:ascii="Times New Roman" w:hAnsi="Times New Roman" w:eastAsia="宋体"/>
          <w:b/>
          <w:bCs/>
          <w:color w:val="auto"/>
          <w:sz w:val="44"/>
          <w:szCs w:val="36"/>
        </w:rPr>
        <w:t>年</w:t>
      </w:r>
      <w:r>
        <w:rPr>
          <w:rFonts w:hint="eastAsia" w:ascii="Times New Roman" w:hAnsi="Times New Roman" w:eastAsia="宋体"/>
          <w:b/>
          <w:bCs/>
          <w:color w:val="auto"/>
          <w:sz w:val="44"/>
          <w:szCs w:val="36"/>
        </w:rPr>
        <w:t>度</w:t>
      </w:r>
      <w:r>
        <w:rPr>
          <w:rFonts w:hint="eastAsia" w:ascii="Times New Roman" w:hAnsi="Times New Roman" w:eastAsia="宋体"/>
          <w:b/>
          <w:bCs/>
          <w:color w:val="auto"/>
          <w:sz w:val="44"/>
          <w:szCs w:val="36"/>
          <w:lang w:eastAsia="zh-CN"/>
        </w:rPr>
        <w:t>山东省</w:t>
      </w:r>
      <w:r>
        <w:rPr>
          <w:rFonts w:ascii="Times New Roman" w:hAnsi="Times New Roman" w:eastAsia="宋体"/>
          <w:b/>
          <w:bCs/>
          <w:color w:val="auto"/>
          <w:sz w:val="44"/>
          <w:szCs w:val="36"/>
        </w:rPr>
        <w:t>新材料首批次</w:t>
      </w:r>
    </w:p>
    <w:p>
      <w:pPr>
        <w:pStyle w:val="15"/>
        <w:spacing w:line="600" w:lineRule="exact"/>
        <w:ind w:right="62" w:firstLine="0" w:firstLineChars="0"/>
        <w:jc w:val="center"/>
        <w:rPr>
          <w:rFonts w:ascii="Times New Roman" w:hAnsi="Times New Roman" w:eastAsia="宋体"/>
          <w:b/>
          <w:bCs/>
          <w:color w:val="auto"/>
          <w:sz w:val="44"/>
          <w:szCs w:val="36"/>
        </w:rPr>
      </w:pPr>
      <w:r>
        <w:rPr>
          <w:rFonts w:ascii="Times New Roman" w:hAnsi="Times New Roman" w:eastAsia="宋体"/>
          <w:b/>
          <w:bCs/>
          <w:color w:val="auto"/>
          <w:sz w:val="44"/>
          <w:szCs w:val="36"/>
        </w:rPr>
        <w:t>保险补偿申报指南</w:t>
      </w:r>
    </w:p>
    <w:p>
      <w:pPr>
        <w:pStyle w:val="15"/>
        <w:spacing w:line="600" w:lineRule="exact"/>
        <w:ind w:firstLine="640"/>
        <w:rPr>
          <w:rFonts w:ascii="Times New Roman" w:hAnsi="Times New Roman"/>
          <w:color w:val="auto"/>
          <w:szCs w:val="32"/>
        </w:rPr>
      </w:pPr>
    </w:p>
    <w:p>
      <w:pPr>
        <w:keepNext w:val="0"/>
        <w:keepLines w:val="0"/>
        <w:pageBreakBefore w:val="0"/>
        <w:widowControl w:val="0"/>
        <w:kinsoku/>
        <w:wordWrap/>
        <w:overflowPunct/>
        <w:topLinePunct w:val="0"/>
        <w:autoSpaceDE/>
        <w:autoSpaceDN/>
        <w:bidi w:val="0"/>
        <w:spacing w:line="560" w:lineRule="exact"/>
        <w:ind w:firstLine="640"/>
        <w:textAlignment w:val="auto"/>
        <w:rPr>
          <w:rFonts w:eastAsia="黑体"/>
          <w:color w:val="auto"/>
          <w:szCs w:val="32"/>
        </w:rPr>
      </w:pPr>
      <w:r>
        <w:rPr>
          <w:rFonts w:eastAsia="黑体"/>
          <w:color w:val="auto"/>
          <w:szCs w:val="32"/>
        </w:rPr>
        <w:t>一、</w:t>
      </w:r>
      <w:r>
        <w:rPr>
          <w:rFonts w:hint="eastAsia" w:eastAsia="黑体"/>
          <w:color w:val="auto"/>
          <w:szCs w:val="32"/>
        </w:rPr>
        <w:t>申报条件</w:t>
      </w:r>
    </w:p>
    <w:p>
      <w:pPr>
        <w:keepNext w:val="0"/>
        <w:keepLines w:val="0"/>
        <w:pageBreakBefore w:val="0"/>
        <w:widowControl w:val="0"/>
        <w:kinsoku/>
        <w:wordWrap/>
        <w:overflowPunct/>
        <w:topLinePunct w:val="0"/>
        <w:autoSpaceDE/>
        <w:autoSpaceDN/>
        <w:bidi w:val="0"/>
        <w:spacing w:line="560" w:lineRule="exact"/>
        <w:ind w:firstLine="640"/>
        <w:textAlignment w:val="auto"/>
        <w:rPr>
          <w:rFonts w:cs="仿宋_GB2312"/>
          <w:color w:val="auto"/>
        </w:rPr>
      </w:pPr>
      <w:r>
        <w:rPr>
          <w:rFonts w:hint="eastAsia" w:cs="仿宋_GB2312"/>
          <w:color w:val="auto"/>
        </w:rPr>
        <w:t>在山东省行政区域内注册、具有独立法人资格，且经营管理规范的生产企业，符合以下条件的可申请保费补贴。</w:t>
      </w:r>
    </w:p>
    <w:p>
      <w:pPr>
        <w:rPr>
          <w:rFonts w:hint="eastAsia" w:cs="仿宋_GB2312"/>
          <w:color w:val="auto"/>
          <w:szCs w:val="32"/>
        </w:rPr>
      </w:pPr>
      <w:r>
        <w:rPr>
          <w:rFonts w:hint="eastAsia" w:cs="仿宋_GB2312"/>
          <w:color w:val="auto"/>
          <w:szCs w:val="32"/>
        </w:rPr>
        <w:t>（一）投保产品应用于新一代信息技术、航空航天装备、生物医药及高性能医疗器械、电力装备、先进轨道交通装备、海洋工程装备及高技术船舶、节能与新能源汽车、高档数控机床及机器人等高端领域，且在《山东省重点新材料首批次应用示范指导目录（2020年版）》内，于2020年10月1日-2021年8月24日期间投保产品质量险、责任险、综合险，或者产品在《山东省重点新材料首批次应用示范指导目录（2021年版）》内，于2021年8月25日-2021年9月</w:t>
      </w:r>
      <w:r>
        <w:rPr>
          <w:rFonts w:hint="eastAsia" w:cs="仿宋_GB2312"/>
          <w:color w:val="auto"/>
          <w:szCs w:val="32"/>
          <w:lang w:val="en-US" w:eastAsia="zh-CN"/>
        </w:rPr>
        <w:t>7</w:t>
      </w:r>
      <w:r>
        <w:rPr>
          <w:rFonts w:hint="eastAsia" w:cs="仿宋_GB2312"/>
          <w:color w:val="auto"/>
          <w:szCs w:val="32"/>
        </w:rPr>
        <w:t>日期间投保产品质量险、责任险、综合险，并在投保时限内实现销售，交付用户且保单正式生效。</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cs="仿宋_GB2312"/>
          <w:color w:val="auto"/>
          <w:szCs w:val="32"/>
        </w:rPr>
      </w:pPr>
      <w:r>
        <w:rPr>
          <w:rFonts w:hint="eastAsia" w:cs="仿宋_GB2312"/>
          <w:color w:val="auto"/>
          <w:szCs w:val="32"/>
        </w:rPr>
        <w:t>（二）</w:t>
      </w:r>
      <w:r>
        <w:rPr>
          <w:rFonts w:hint="eastAsia" w:cs="仿宋_GB2312"/>
          <w:color w:val="auto"/>
          <w:szCs w:val="32"/>
          <w:lang w:val="en-US" w:eastAsia="zh-CN"/>
        </w:rPr>
        <w:t>投保</w:t>
      </w:r>
      <w:r>
        <w:rPr>
          <w:rFonts w:hint="eastAsia" w:cs="仿宋_GB2312"/>
          <w:color w:val="auto"/>
          <w:szCs w:val="32"/>
        </w:rPr>
        <w:t>产品知识产权明晰。拥有核心技术，或自主知识产权，或依法通过受让取得知识产权的所有权或使用权，拥有产品注册商标所有权。</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hint="eastAsia" w:cs="仿宋_GB2312"/>
          <w:color w:val="auto"/>
          <w:szCs w:val="32"/>
        </w:rPr>
      </w:pPr>
      <w:r>
        <w:rPr>
          <w:rFonts w:hint="eastAsia" w:cs="仿宋_GB2312"/>
          <w:color w:val="auto"/>
          <w:szCs w:val="32"/>
        </w:rPr>
        <w:t>（三）同一用户购买的同一产品享受保费补贴</w:t>
      </w:r>
      <w:r>
        <w:rPr>
          <w:rFonts w:hint="eastAsia" w:cs="仿宋_GB2312"/>
          <w:b w:val="0"/>
          <w:bCs w:val="0"/>
          <w:color w:val="auto"/>
          <w:szCs w:val="32"/>
          <w:lang w:val="en-US" w:eastAsia="zh-CN"/>
        </w:rPr>
        <w:t>不超过</w:t>
      </w:r>
      <w:r>
        <w:rPr>
          <w:rFonts w:hint="eastAsia" w:cs="仿宋_GB2312"/>
          <w:color w:val="auto"/>
          <w:szCs w:val="32"/>
          <w:lang w:val="en-US" w:eastAsia="zh-CN"/>
        </w:rPr>
        <w:t>2</w:t>
      </w:r>
      <w:r>
        <w:rPr>
          <w:rFonts w:hint="eastAsia" w:cs="仿宋_GB2312"/>
          <w:color w:val="auto"/>
          <w:szCs w:val="32"/>
        </w:rPr>
        <w:t>年</w:t>
      </w:r>
      <w:r>
        <w:rPr>
          <w:rFonts w:hint="eastAsia" w:cs="仿宋_GB2312"/>
          <w:color w:val="auto"/>
          <w:szCs w:val="32"/>
          <w:lang w:val="en-US" w:eastAsia="zh-CN"/>
        </w:rPr>
        <w:t>。</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cs="仿宋_GB2312"/>
          <w:color w:val="auto"/>
          <w:szCs w:val="32"/>
        </w:rPr>
      </w:pPr>
      <w:r>
        <w:rPr>
          <w:rFonts w:hint="eastAsia" w:cs="仿宋_GB2312"/>
          <w:color w:val="auto"/>
          <w:szCs w:val="32"/>
        </w:rPr>
        <w:t>（四）申请保费补贴的</w:t>
      </w:r>
      <w:r>
        <w:rPr>
          <w:rFonts w:hint="eastAsia" w:cs="仿宋_GB2312"/>
          <w:color w:val="auto"/>
          <w:szCs w:val="32"/>
          <w:lang w:val="en-US" w:eastAsia="zh-CN"/>
        </w:rPr>
        <w:t>投保</w:t>
      </w:r>
      <w:r>
        <w:rPr>
          <w:rFonts w:hint="eastAsia" w:cs="仿宋_GB2312"/>
          <w:color w:val="auto"/>
          <w:szCs w:val="32"/>
        </w:rPr>
        <w:t>产品必须由新材料用户单位直接购买使用，购买单位为关联企业及贸易商的不得提出保费补贴申请。</w:t>
      </w:r>
      <w:r>
        <w:rPr>
          <w:rFonts w:hint="eastAsia"/>
          <w:color w:val="auto"/>
          <w:szCs w:val="32"/>
          <w:lang w:eastAsia="zh-CN"/>
        </w:rPr>
        <w:t>产品销售</w:t>
      </w:r>
      <w:r>
        <w:rPr>
          <w:rFonts w:hint="eastAsia"/>
          <w:color w:val="auto"/>
          <w:szCs w:val="32"/>
        </w:rPr>
        <w:t>分期付款结算的，已开发票金额不低于合同金额的</w:t>
      </w:r>
      <w:r>
        <w:rPr>
          <w:rFonts w:hint="eastAsia"/>
          <w:color w:val="auto"/>
          <w:szCs w:val="32"/>
          <w:lang w:val="en-US" w:eastAsia="zh-CN"/>
        </w:rPr>
        <w:t>6</w:t>
      </w:r>
      <w:r>
        <w:rPr>
          <w:rFonts w:hint="eastAsia"/>
          <w:color w:val="auto"/>
          <w:szCs w:val="32"/>
        </w:rPr>
        <w:t>0%。销售日期以发票日期为准，分期付款的以满足约束条件最后一张发票日期为准。</w:t>
      </w:r>
      <w:r>
        <w:rPr>
          <w:rFonts w:hint="eastAsia" w:cs="仿宋_GB2312"/>
          <w:color w:val="auto"/>
          <w:szCs w:val="32"/>
        </w:rPr>
        <w:t>原则上单个</w:t>
      </w:r>
      <w:r>
        <w:rPr>
          <w:rFonts w:hint="eastAsia" w:cs="仿宋_GB2312"/>
          <w:color w:val="auto"/>
          <w:szCs w:val="32"/>
          <w:lang w:eastAsia="zh-CN"/>
        </w:rPr>
        <w:t>品种单个用户</w:t>
      </w:r>
      <w:r>
        <w:rPr>
          <w:rFonts w:hint="eastAsia" w:cs="仿宋_GB2312"/>
          <w:color w:val="auto"/>
          <w:szCs w:val="32"/>
        </w:rPr>
        <w:t>的销售合同金额不低于500万元。</w:t>
      </w:r>
    </w:p>
    <w:p>
      <w:pPr>
        <w:keepNext w:val="0"/>
        <w:keepLines w:val="0"/>
        <w:pageBreakBefore w:val="0"/>
        <w:widowControl w:val="0"/>
        <w:kinsoku/>
        <w:wordWrap/>
        <w:overflowPunct/>
        <w:topLinePunct w:val="0"/>
        <w:autoSpaceDE/>
        <w:autoSpaceDN/>
        <w:bidi w:val="0"/>
        <w:spacing w:line="560" w:lineRule="exact"/>
        <w:ind w:firstLine="640"/>
        <w:textAlignment w:val="auto"/>
        <w:rPr>
          <w:rFonts w:eastAsia="黑体"/>
          <w:color w:val="auto"/>
          <w:szCs w:val="32"/>
        </w:rPr>
      </w:pPr>
      <w:r>
        <w:rPr>
          <w:rFonts w:eastAsia="黑体"/>
          <w:color w:val="auto"/>
          <w:szCs w:val="32"/>
        </w:rPr>
        <w:t>二、支持</w:t>
      </w:r>
      <w:r>
        <w:rPr>
          <w:rFonts w:hint="eastAsia" w:eastAsia="黑体"/>
          <w:color w:val="auto"/>
          <w:szCs w:val="32"/>
        </w:rPr>
        <w:t>标准</w:t>
      </w:r>
    </w:p>
    <w:p>
      <w:pPr>
        <w:keepNext w:val="0"/>
        <w:keepLines w:val="0"/>
        <w:pageBreakBefore w:val="0"/>
        <w:widowControl w:val="0"/>
        <w:kinsoku/>
        <w:wordWrap/>
        <w:overflowPunct/>
        <w:topLinePunct w:val="0"/>
        <w:autoSpaceDE/>
        <w:autoSpaceDN/>
        <w:bidi w:val="0"/>
        <w:spacing w:line="560" w:lineRule="exact"/>
        <w:ind w:firstLine="720"/>
        <w:textAlignment w:val="auto"/>
        <w:rPr>
          <w:rFonts w:hint="eastAsia" w:eastAsia="黑体"/>
          <w:color w:val="auto"/>
          <w:sz w:val="36"/>
          <w:szCs w:val="36"/>
        </w:rPr>
      </w:pPr>
      <w:r>
        <w:rPr>
          <w:rFonts w:hint="eastAsia" w:cs="仿宋_GB2312"/>
          <w:color w:val="auto"/>
          <w:szCs w:val="32"/>
        </w:rPr>
        <w:t>在规定时限内，生产企业与保险公司签订正式保险合同并支付保费的（分期支付保费的，已支付保费不低于保费总额的30%，其余保费缴费时限和方式按照有关规定由保险双方协商确定），省财政按不高于3%的费率上限及实际投保年度保费的80%给予补贴，单户企业最高补贴200万元。</w:t>
      </w:r>
    </w:p>
    <w:p>
      <w:pPr>
        <w:keepNext w:val="0"/>
        <w:keepLines w:val="0"/>
        <w:pageBreakBefore w:val="0"/>
        <w:widowControl w:val="0"/>
        <w:kinsoku/>
        <w:wordWrap/>
        <w:overflowPunct/>
        <w:topLinePunct w:val="0"/>
        <w:autoSpaceDE/>
        <w:autoSpaceDN/>
        <w:bidi w:val="0"/>
        <w:spacing w:line="560" w:lineRule="exact"/>
        <w:ind w:firstLine="720"/>
        <w:textAlignment w:val="auto"/>
        <w:rPr>
          <w:rFonts w:eastAsia="黑体"/>
          <w:color w:val="auto"/>
          <w:sz w:val="32"/>
          <w:szCs w:val="32"/>
        </w:rPr>
      </w:pPr>
      <w:r>
        <w:rPr>
          <w:rFonts w:hint="eastAsia" w:eastAsia="黑体"/>
          <w:color w:val="auto"/>
          <w:sz w:val="32"/>
          <w:szCs w:val="32"/>
        </w:rPr>
        <w:t>三</w:t>
      </w:r>
      <w:r>
        <w:rPr>
          <w:rFonts w:eastAsia="黑体"/>
          <w:color w:val="auto"/>
          <w:sz w:val="32"/>
          <w:szCs w:val="32"/>
        </w:rPr>
        <w:t>、申报材料</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hint="eastAsia"/>
          <w:color w:val="auto"/>
          <w:szCs w:val="32"/>
        </w:rPr>
      </w:pPr>
      <w:r>
        <w:rPr>
          <w:rFonts w:hint="eastAsia"/>
          <w:color w:val="auto"/>
          <w:szCs w:val="32"/>
        </w:rPr>
        <w:t xml:space="preserve">投保企业申请保费补偿时，需提交以下材料，并按顺序进行胶装： </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hint="eastAsia"/>
          <w:color w:val="auto"/>
          <w:szCs w:val="32"/>
        </w:rPr>
      </w:pPr>
      <w:r>
        <w:rPr>
          <w:rFonts w:hint="eastAsia"/>
          <w:color w:val="auto"/>
          <w:szCs w:val="32"/>
        </w:rPr>
        <w:t>（一）202</w:t>
      </w:r>
      <w:r>
        <w:rPr>
          <w:rFonts w:hint="eastAsia"/>
          <w:color w:val="auto"/>
          <w:szCs w:val="32"/>
          <w:lang w:val="en-US" w:eastAsia="zh-CN"/>
        </w:rPr>
        <w:t>1</w:t>
      </w:r>
      <w:r>
        <w:rPr>
          <w:rFonts w:hint="eastAsia"/>
          <w:color w:val="auto"/>
          <w:szCs w:val="32"/>
        </w:rPr>
        <w:t>年度山东省新材料首批次保险补偿申报书（附件</w:t>
      </w:r>
      <w:r>
        <w:rPr>
          <w:rFonts w:hint="eastAsia"/>
          <w:color w:val="auto"/>
          <w:szCs w:val="32"/>
          <w:lang w:val="en-US" w:eastAsia="zh-CN"/>
        </w:rPr>
        <w:t>3-</w:t>
      </w:r>
      <w:r>
        <w:rPr>
          <w:rFonts w:hint="eastAsia"/>
          <w:color w:val="auto"/>
          <w:szCs w:val="32"/>
        </w:rPr>
        <w:t>1）。</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hint="eastAsia"/>
          <w:color w:val="auto"/>
          <w:szCs w:val="32"/>
        </w:rPr>
      </w:pPr>
      <w:r>
        <w:rPr>
          <w:rFonts w:hint="eastAsia"/>
          <w:color w:val="auto"/>
          <w:szCs w:val="32"/>
        </w:rPr>
        <w:t>（二）企业法人营业执照、税务登记复印件。</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cs="仿宋_GB2312"/>
          <w:color w:val="auto"/>
          <w:szCs w:val="32"/>
        </w:rPr>
      </w:pPr>
      <w:r>
        <w:rPr>
          <w:rFonts w:hint="eastAsia"/>
          <w:color w:val="auto"/>
          <w:szCs w:val="32"/>
        </w:rPr>
        <w:t>（三）首批次新材料生产单位和用户单位签订的正式</w:t>
      </w:r>
      <w:r>
        <w:rPr>
          <w:rFonts w:hint="eastAsia"/>
          <w:color w:val="auto"/>
          <w:szCs w:val="32"/>
          <w:lang w:eastAsia="zh-CN"/>
        </w:rPr>
        <w:t>销售</w:t>
      </w:r>
      <w:r>
        <w:rPr>
          <w:rFonts w:hint="eastAsia"/>
          <w:color w:val="auto"/>
          <w:szCs w:val="32"/>
        </w:rPr>
        <w:t>合同</w:t>
      </w:r>
      <w:r>
        <w:rPr>
          <w:rFonts w:hint="eastAsia"/>
          <w:color w:val="auto"/>
          <w:szCs w:val="32"/>
          <w:lang w:eastAsia="zh-CN"/>
        </w:rPr>
        <w:t>及</w:t>
      </w:r>
      <w:r>
        <w:rPr>
          <w:rFonts w:hint="eastAsia"/>
          <w:color w:val="auto"/>
          <w:szCs w:val="32"/>
        </w:rPr>
        <w:t>发票复印件。由集团内关联</w:t>
      </w:r>
      <w:r>
        <w:rPr>
          <w:rFonts w:hint="eastAsia"/>
          <w:color w:val="auto"/>
          <w:szCs w:val="32"/>
          <w:lang w:eastAsia="zh-CN"/>
        </w:rPr>
        <w:t>企业</w:t>
      </w:r>
      <w:r>
        <w:rPr>
          <w:rFonts w:hint="eastAsia"/>
          <w:color w:val="auto"/>
          <w:szCs w:val="32"/>
        </w:rPr>
        <w:t>实现最终销售的，需提供面向非本集团最终用户的销售合同及发票</w:t>
      </w:r>
      <w:r>
        <w:rPr>
          <w:rFonts w:hint="eastAsia"/>
          <w:color w:val="auto"/>
          <w:szCs w:val="32"/>
          <w:lang w:eastAsia="zh-CN"/>
        </w:rPr>
        <w:t>、生产企业与实现销售企业的关系证明。</w:t>
      </w:r>
      <w:r>
        <w:rPr>
          <w:rFonts w:hint="eastAsia"/>
          <w:color w:val="auto"/>
          <w:szCs w:val="32"/>
        </w:rPr>
        <w:t>分期付款结算的，已开发票金额不低于合同金额的</w:t>
      </w:r>
      <w:r>
        <w:rPr>
          <w:rFonts w:hint="eastAsia"/>
          <w:color w:val="auto"/>
          <w:szCs w:val="32"/>
          <w:lang w:val="en-US" w:eastAsia="zh-CN"/>
        </w:rPr>
        <w:t>6</w:t>
      </w:r>
      <w:r>
        <w:rPr>
          <w:rFonts w:hint="eastAsia"/>
          <w:color w:val="auto"/>
          <w:szCs w:val="32"/>
        </w:rPr>
        <w:t>0%。出口产品，需附加中文翻译版本，金额换算为人民币。</w:t>
      </w:r>
    </w:p>
    <w:p>
      <w:pPr>
        <w:keepNext w:val="0"/>
        <w:keepLines w:val="0"/>
        <w:pageBreakBefore w:val="0"/>
        <w:widowControl w:val="0"/>
        <w:kinsoku/>
        <w:wordWrap/>
        <w:overflowPunct/>
        <w:topLinePunct w:val="0"/>
        <w:autoSpaceDE/>
        <w:autoSpaceDN/>
        <w:bidi w:val="0"/>
        <w:spacing w:line="560" w:lineRule="exact"/>
        <w:ind w:firstLine="640" w:firstLineChars="0"/>
        <w:textAlignment w:val="auto"/>
        <w:rPr>
          <w:rFonts w:hint="eastAsia"/>
          <w:color w:val="auto"/>
          <w:szCs w:val="32"/>
          <w:lang w:eastAsia="zh-CN"/>
        </w:rPr>
      </w:pPr>
      <w:r>
        <w:rPr>
          <w:rFonts w:hint="eastAsia"/>
          <w:color w:val="auto"/>
          <w:szCs w:val="32"/>
          <w:lang w:eastAsia="zh-CN"/>
        </w:rPr>
        <w:t>（四）保单、保险费支付凭证和保险费发票复印件，每份保单对应一家用户单位，并与产品销售合同对应。</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color w:val="auto"/>
          <w:szCs w:val="32"/>
        </w:rPr>
      </w:pPr>
      <w:r>
        <w:rPr>
          <w:rFonts w:hint="eastAsia"/>
          <w:color w:val="auto"/>
          <w:szCs w:val="32"/>
          <w:lang w:eastAsia="zh-CN"/>
        </w:rPr>
        <w:t>（五）</w:t>
      </w:r>
      <w:r>
        <w:rPr>
          <w:rFonts w:hint="eastAsia"/>
          <w:color w:val="auto"/>
          <w:szCs w:val="32"/>
        </w:rPr>
        <w:t>投保产品销售发票涉及多张的企业，需开列明细清单，包括用户单位名称、产品名称</w:t>
      </w:r>
      <w:r>
        <w:rPr>
          <w:rFonts w:hint="eastAsia"/>
          <w:color w:val="auto"/>
          <w:szCs w:val="32"/>
          <w:lang w:eastAsia="zh-CN"/>
        </w:rPr>
        <w:t>（含型号）</w:t>
      </w:r>
      <w:r>
        <w:rPr>
          <w:rFonts w:hint="eastAsia"/>
          <w:color w:val="auto"/>
          <w:szCs w:val="32"/>
        </w:rPr>
        <w:t>、金额及数量、开票日期等。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rPr>
      </w:pPr>
      <w:r>
        <w:rPr>
          <w:rFonts w:hint="eastAsia"/>
          <w:color w:val="auto"/>
          <w:szCs w:val="32"/>
        </w:rPr>
        <w:t>（</w:t>
      </w:r>
      <w:r>
        <w:rPr>
          <w:rFonts w:hint="eastAsia"/>
          <w:color w:val="auto"/>
          <w:szCs w:val="32"/>
          <w:lang w:eastAsia="zh-CN"/>
        </w:rPr>
        <w:t>六</w:t>
      </w:r>
      <w:r>
        <w:rPr>
          <w:rFonts w:hint="eastAsia"/>
          <w:color w:val="auto"/>
          <w:szCs w:val="32"/>
        </w:rPr>
        <w:t>）省级以上产品质量管理部门认可机构出具的或用户单位认可的第三方产品检测报告</w:t>
      </w:r>
      <w:r>
        <w:rPr>
          <w:rFonts w:hint="eastAsia"/>
          <w:color w:val="auto"/>
          <w:szCs w:val="32"/>
          <w:lang w:eastAsia="zh-CN"/>
        </w:rPr>
        <w:t>，检测指标满足目录中产品性能要求</w:t>
      </w:r>
      <w:r>
        <w:rPr>
          <w:rFonts w:hint="eastAsia"/>
          <w:color w:val="auto"/>
          <w:szCs w:val="32"/>
          <w:lang w:val="en-US" w:eastAsia="zh-CN"/>
        </w:rPr>
        <w:t>,指标单位与目录中不一致的，需换算为一致或做出说明</w:t>
      </w:r>
      <w:r>
        <w:rPr>
          <w:rFonts w:hint="eastAsia"/>
          <w:color w:val="auto"/>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rPr>
      </w:pPr>
      <w:r>
        <w:rPr>
          <w:rFonts w:hint="eastAsia"/>
          <w:color w:val="auto"/>
          <w:szCs w:val="32"/>
        </w:rPr>
        <w:t>（</w:t>
      </w:r>
      <w:r>
        <w:rPr>
          <w:rFonts w:hint="eastAsia"/>
          <w:color w:val="auto"/>
          <w:szCs w:val="32"/>
          <w:lang w:eastAsia="zh-CN"/>
        </w:rPr>
        <w:t>七</w:t>
      </w:r>
      <w:r>
        <w:rPr>
          <w:rFonts w:hint="eastAsia"/>
          <w:color w:val="auto"/>
          <w:szCs w:val="32"/>
        </w:rPr>
        <w:t>）产品专利、专利授权书或其他关于知识产权的材料。</w:t>
      </w:r>
    </w:p>
    <w:p>
      <w:pPr>
        <w:pStyle w:val="2"/>
        <w:keepNext w:val="0"/>
        <w:keepLines w:val="0"/>
        <w:pageBreakBefore w:val="0"/>
        <w:widowControl w:val="0"/>
        <w:kinsoku/>
        <w:wordWrap/>
        <w:overflowPunct/>
        <w:topLinePunct w:val="0"/>
        <w:autoSpaceDE/>
        <w:autoSpaceDN/>
        <w:bidi w:val="0"/>
        <w:spacing w:after="0" w:line="560" w:lineRule="exact"/>
        <w:textAlignment w:val="auto"/>
        <w:rPr>
          <w:rFonts w:hint="default" w:eastAsia="仿宋_GB2312"/>
          <w:color w:val="auto"/>
          <w:lang w:val="en-US" w:eastAsia="zh-CN"/>
        </w:rPr>
      </w:pPr>
      <w:r>
        <w:rPr>
          <w:rFonts w:hint="eastAsia"/>
          <w:color w:val="auto"/>
          <w:szCs w:val="32"/>
          <w:lang w:eastAsia="zh-CN"/>
        </w:rPr>
        <w:t>（</w:t>
      </w:r>
      <w:r>
        <w:rPr>
          <w:rFonts w:hint="eastAsia"/>
          <w:color w:val="auto"/>
          <w:szCs w:val="32"/>
          <w:lang w:val="en-US" w:eastAsia="zh-CN"/>
        </w:rPr>
        <w:t>八</w:t>
      </w:r>
      <w:r>
        <w:rPr>
          <w:rFonts w:hint="eastAsia"/>
          <w:color w:val="auto"/>
          <w:szCs w:val="32"/>
          <w:lang w:eastAsia="zh-CN"/>
        </w:rPr>
        <w:t>）</w:t>
      </w:r>
      <w:r>
        <w:rPr>
          <w:rFonts w:hint="eastAsia"/>
          <w:color w:val="auto"/>
          <w:szCs w:val="32"/>
          <w:lang w:val="en-US" w:eastAsia="zh-CN"/>
        </w:rPr>
        <w:t>投保产品应用于</w:t>
      </w:r>
      <w:r>
        <w:rPr>
          <w:rFonts w:hint="eastAsia" w:ascii="仿宋" w:hAnsi="仿宋" w:eastAsia="仿宋" w:cs="仿宋"/>
          <w:b w:val="0"/>
          <w:bCs w:val="0"/>
          <w:color w:val="auto"/>
          <w:sz w:val="32"/>
          <w:szCs w:val="32"/>
          <w:lang w:val="en-US" w:eastAsia="zh-CN"/>
        </w:rPr>
        <w:t>新一代信息技术、航空航天装备、生物医药及高性能医疗器械、电力装备、先进轨道交通装备、海洋工程装备及高技术船舶、节能与新能源汽车、高档数控机床及机器人等高端</w:t>
      </w:r>
      <w:r>
        <w:rPr>
          <w:rFonts w:hint="eastAsia"/>
          <w:color w:val="auto"/>
          <w:szCs w:val="32"/>
          <w:lang w:val="en-US" w:eastAsia="zh-CN"/>
        </w:rPr>
        <w:t>领域的证明材料（生产企业、用户企业盖章）。</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rPr>
      </w:pPr>
      <w:r>
        <w:rPr>
          <w:rFonts w:hint="eastAsia"/>
          <w:color w:val="auto"/>
          <w:szCs w:val="32"/>
        </w:rPr>
        <w:t>（</w:t>
      </w:r>
      <w:r>
        <w:rPr>
          <w:rFonts w:hint="eastAsia"/>
          <w:color w:val="auto"/>
          <w:szCs w:val="32"/>
          <w:lang w:eastAsia="zh-CN"/>
        </w:rPr>
        <w:t>九</w:t>
      </w:r>
      <w:r>
        <w:rPr>
          <w:rFonts w:hint="eastAsia"/>
          <w:color w:val="auto"/>
          <w:szCs w:val="32"/>
        </w:rPr>
        <w:t>）其他需要补充的有关证明材料。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rPr>
      </w:pPr>
      <w:r>
        <w:rPr>
          <w:rFonts w:hint="eastAsia"/>
          <w:color w:val="auto"/>
          <w:szCs w:val="32"/>
        </w:rPr>
        <w:t>所有材料应为原件或加盖有效公章的复印件</w:t>
      </w:r>
      <w:r>
        <w:rPr>
          <w:rFonts w:hint="eastAsia"/>
          <w:color w:val="auto"/>
          <w:szCs w:val="32"/>
          <w:lang w:eastAsia="zh-CN"/>
        </w:rPr>
        <w:t>，</w:t>
      </w:r>
      <w:r>
        <w:rPr>
          <w:rFonts w:hint="eastAsia"/>
          <w:color w:val="auto"/>
          <w:szCs w:val="32"/>
        </w:rPr>
        <w:t>书脊</w:t>
      </w:r>
      <w:r>
        <w:rPr>
          <w:rFonts w:hint="eastAsia"/>
          <w:color w:val="auto"/>
          <w:szCs w:val="32"/>
          <w:lang w:eastAsia="zh-CN"/>
        </w:rPr>
        <w:t>处标注生产企业和用户名称</w:t>
      </w:r>
      <w:r>
        <w:rPr>
          <w:rFonts w:hint="eastAsia"/>
          <w:color w:val="auto"/>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Times New Roman" w:hAnsi="Times New Roman" w:eastAsia="黑体" w:cs="Times New Roman"/>
          <w:color w:val="auto"/>
          <w:kern w:val="2"/>
          <w:sz w:val="32"/>
          <w:szCs w:val="24"/>
          <w:lang w:val="en-US" w:eastAsia="zh-CN" w:bidi="ar-SA"/>
        </w:rPr>
      </w:pPr>
      <w:r>
        <w:rPr>
          <w:rFonts w:hint="eastAsia" w:ascii="Times New Roman" w:hAnsi="Times New Roman" w:eastAsia="黑体" w:cs="Times New Roman"/>
          <w:color w:val="auto"/>
          <w:kern w:val="2"/>
          <w:sz w:val="32"/>
          <w:szCs w:val="24"/>
          <w:lang w:val="en-US" w:eastAsia="zh-CN" w:bidi="ar-SA"/>
        </w:rPr>
        <w:t>四、申报程序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rPr>
      </w:pPr>
      <w:r>
        <w:rPr>
          <w:rFonts w:hint="eastAsia"/>
          <w:color w:val="auto"/>
          <w:szCs w:val="32"/>
        </w:rPr>
        <w:t>各市</w:t>
      </w:r>
      <w:r>
        <w:rPr>
          <w:rFonts w:hint="eastAsia"/>
          <w:color w:val="auto"/>
          <w:szCs w:val="32"/>
          <w:lang w:eastAsia="zh-CN"/>
        </w:rPr>
        <w:t>及</w:t>
      </w:r>
      <w:r>
        <w:rPr>
          <w:rFonts w:hint="eastAsia"/>
          <w:color w:val="auto"/>
          <w:szCs w:val="32"/>
        </w:rPr>
        <w:t>省财政</w:t>
      </w:r>
      <w:r>
        <w:rPr>
          <w:rFonts w:hint="eastAsia"/>
          <w:color w:val="auto"/>
          <w:szCs w:val="32"/>
          <w:lang w:eastAsia="zh-CN"/>
        </w:rPr>
        <w:t>直管县、</w:t>
      </w:r>
      <w:r>
        <w:rPr>
          <w:rFonts w:hint="eastAsia"/>
          <w:color w:val="auto"/>
          <w:szCs w:val="32"/>
        </w:rPr>
        <w:t>经济发达县工业和信息化主管部门对企业申报材料初审后（核对所有复印件的原件），将审核意见、《202</w:t>
      </w:r>
      <w:r>
        <w:rPr>
          <w:rFonts w:hint="eastAsia"/>
          <w:color w:val="auto"/>
          <w:szCs w:val="32"/>
          <w:lang w:val="en-US" w:eastAsia="zh-CN"/>
        </w:rPr>
        <w:t>1</w:t>
      </w:r>
      <w:r>
        <w:rPr>
          <w:rFonts w:hint="eastAsia"/>
          <w:color w:val="auto"/>
          <w:szCs w:val="32"/>
        </w:rPr>
        <w:t>年度山东省新材料</w:t>
      </w:r>
      <w:r>
        <w:rPr>
          <w:rFonts w:hint="eastAsia"/>
          <w:color w:val="auto"/>
          <w:szCs w:val="32"/>
          <w:lang w:eastAsia="zh-CN"/>
        </w:rPr>
        <w:t>首批次</w:t>
      </w:r>
      <w:r>
        <w:rPr>
          <w:rFonts w:hint="eastAsia"/>
          <w:color w:val="auto"/>
          <w:szCs w:val="32"/>
        </w:rPr>
        <w:t>保险补偿申请汇总表》（见附件</w:t>
      </w:r>
      <w:r>
        <w:rPr>
          <w:rFonts w:hint="eastAsia"/>
          <w:color w:val="auto"/>
          <w:szCs w:val="32"/>
          <w:lang w:val="en-US" w:eastAsia="zh-CN"/>
        </w:rPr>
        <w:t>1-2</w:t>
      </w:r>
      <w:r>
        <w:rPr>
          <w:rFonts w:hint="eastAsia"/>
          <w:color w:val="auto"/>
          <w:szCs w:val="32"/>
        </w:rPr>
        <w:t>）及各生产企业申报资料，分别报送省工业和信息化厅（纸质版1份）、山东银保监局（纸质版1份），电子版材料（PDF及Word版本）刻录光盘同步报送。</w:t>
      </w:r>
    </w:p>
    <w:p>
      <w:pPr>
        <w:keepNext w:val="0"/>
        <w:keepLines w:val="0"/>
        <w:pageBreakBefore w:val="0"/>
        <w:widowControl w:val="0"/>
        <w:kinsoku/>
        <w:wordWrap/>
        <w:overflowPunct/>
        <w:topLinePunct w:val="0"/>
        <w:autoSpaceDE/>
        <w:autoSpaceDN/>
        <w:bidi w:val="0"/>
        <w:spacing w:line="560" w:lineRule="exact"/>
        <w:ind w:firstLine="640"/>
        <w:textAlignment w:val="auto"/>
        <w:rPr>
          <w:rFonts w:ascii="Times New Roman" w:hAnsi="Times New Roman" w:eastAsia="黑体"/>
          <w:color w:val="auto"/>
        </w:rPr>
      </w:pPr>
      <w:r>
        <w:rPr>
          <w:rFonts w:hint="eastAsia" w:ascii="Times New Roman" w:hAnsi="Times New Roman" w:eastAsia="黑体"/>
          <w:color w:val="auto"/>
          <w:lang w:eastAsia="zh-CN"/>
        </w:rPr>
        <w:t>五</w:t>
      </w:r>
      <w:bookmarkStart w:id="0" w:name="_GoBack"/>
      <w:bookmarkEnd w:id="0"/>
      <w:r>
        <w:rPr>
          <w:rFonts w:ascii="Times New Roman" w:hAnsi="Times New Roman" w:eastAsia="黑体"/>
          <w:color w:val="auto"/>
        </w:rPr>
        <w:t>、其他要求</w:t>
      </w:r>
    </w:p>
    <w:p>
      <w:pPr>
        <w:keepNext w:val="0"/>
        <w:keepLines w:val="0"/>
        <w:pageBreakBefore w:val="0"/>
        <w:widowControl w:val="0"/>
        <w:kinsoku/>
        <w:wordWrap/>
        <w:overflowPunct/>
        <w:topLinePunct w:val="0"/>
        <w:autoSpaceDE/>
        <w:autoSpaceDN/>
        <w:bidi w:val="0"/>
        <w:spacing w:line="560" w:lineRule="exact"/>
        <w:ind w:firstLine="640"/>
        <w:textAlignment w:val="auto"/>
        <w:rPr>
          <w:rFonts w:ascii="Times New Roman" w:hAnsi="Times New Roman"/>
          <w:color w:val="auto"/>
          <w:szCs w:val="32"/>
        </w:rPr>
      </w:pPr>
      <w:r>
        <w:rPr>
          <w:rFonts w:ascii="Times New Roman" w:hAnsi="Times New Roman" w:eastAsia="楷体_GB2312"/>
          <w:color w:val="auto"/>
          <w:szCs w:val="32"/>
        </w:rPr>
        <w:t>（一）合理确定投保数量（或金额）。</w:t>
      </w:r>
      <w:r>
        <w:rPr>
          <w:rFonts w:ascii="Times New Roman" w:hAnsi="Times New Roman"/>
          <w:color w:val="auto"/>
          <w:szCs w:val="32"/>
        </w:rPr>
        <w:t>生产企业应根据</w:t>
      </w:r>
      <w:r>
        <w:rPr>
          <w:rFonts w:hint="eastAsia" w:ascii="Times New Roman" w:hAnsi="Times New Roman"/>
          <w:color w:val="auto"/>
          <w:szCs w:val="32"/>
          <w:lang w:eastAsia="zh-CN"/>
        </w:rPr>
        <w:t>首批次</w:t>
      </w:r>
      <w:r>
        <w:rPr>
          <w:rFonts w:ascii="Times New Roman" w:hAnsi="Times New Roman"/>
          <w:color w:val="auto"/>
          <w:szCs w:val="32"/>
        </w:rPr>
        <w:t>产品实际市场推广需求确定投保数量（或金额），</w:t>
      </w:r>
      <w:r>
        <w:rPr>
          <w:rFonts w:hint="eastAsia" w:ascii="Times New Roman" w:hAnsi="Times New Roman"/>
          <w:color w:val="auto"/>
          <w:szCs w:val="32"/>
        </w:rPr>
        <w:t>保险额度不超过销售合同金额的2倍</w:t>
      </w:r>
      <w:r>
        <w:rPr>
          <w:rFonts w:hint="eastAsia" w:ascii="Times New Roman" w:hAnsi="Times New Roman"/>
          <w:color w:val="auto"/>
          <w:szCs w:val="32"/>
          <w:lang w:eastAsia="zh-CN"/>
        </w:rPr>
        <w:t>，同一用户同一产品续保的保险额度不超过销售合同金额的</w:t>
      </w:r>
      <w:r>
        <w:rPr>
          <w:rFonts w:hint="eastAsia" w:ascii="Times New Roman" w:hAnsi="Times New Roman"/>
          <w:color w:val="auto"/>
          <w:szCs w:val="32"/>
          <w:lang w:val="en-US" w:eastAsia="zh-CN"/>
        </w:rPr>
        <w:t>1倍。</w:t>
      </w:r>
      <w:r>
        <w:rPr>
          <w:rFonts w:ascii="Times New Roman" w:hAnsi="Times New Roman"/>
          <w:color w:val="auto"/>
          <w:szCs w:val="32"/>
        </w:rPr>
        <w:t>一经投保不得退保，销售合同应与保单相对应。为提高财政资金使用效益，省财政仅对投保且已实现销售的产品进行保费补偿。适用国家有关部门相关保险补偿扶持办法的企业，只能择一申报，不能重复享受财政资金扶持，鼓励申请国家保险补偿。</w:t>
      </w:r>
    </w:p>
    <w:p>
      <w:pPr>
        <w:keepNext w:val="0"/>
        <w:keepLines w:val="0"/>
        <w:pageBreakBefore w:val="0"/>
        <w:widowControl w:val="0"/>
        <w:kinsoku/>
        <w:wordWrap/>
        <w:overflowPunct/>
        <w:topLinePunct w:val="0"/>
        <w:autoSpaceDE/>
        <w:autoSpaceDN/>
        <w:bidi w:val="0"/>
        <w:spacing w:line="560" w:lineRule="exact"/>
        <w:ind w:firstLine="640"/>
        <w:textAlignment w:val="auto"/>
        <w:rPr>
          <w:rFonts w:ascii="Times New Roman" w:hAnsi="Times New Roman"/>
          <w:color w:val="auto"/>
          <w:szCs w:val="32"/>
        </w:rPr>
      </w:pPr>
      <w:r>
        <w:rPr>
          <w:rFonts w:ascii="Times New Roman" w:hAnsi="Times New Roman" w:eastAsia="楷体_GB2312"/>
          <w:color w:val="auto"/>
          <w:szCs w:val="32"/>
        </w:rPr>
        <w:t>（二）加强补助资金管理。</w:t>
      </w:r>
      <w:r>
        <w:rPr>
          <w:rFonts w:ascii="Times New Roman" w:hAnsi="Times New Roman"/>
          <w:color w:val="auto"/>
          <w:szCs w:val="32"/>
        </w:rPr>
        <w:t>各级财政部门、</w:t>
      </w:r>
      <w:r>
        <w:rPr>
          <w:rFonts w:hint="eastAsia" w:ascii="Times New Roman" w:hAnsi="Times New Roman"/>
          <w:color w:val="auto"/>
          <w:szCs w:val="32"/>
        </w:rPr>
        <w:t>工业</w:t>
      </w:r>
      <w:r>
        <w:rPr>
          <w:rFonts w:ascii="Times New Roman" w:hAnsi="Times New Roman"/>
          <w:color w:val="auto"/>
          <w:szCs w:val="32"/>
        </w:rPr>
        <w:t>和信息化主管部门要高度重视，加强对保险补偿财政扶持资金的监督管理，确保保费补助资金及时拨付，对套取、截留或挤占挪用财政资金的，按照《财政违法行为处罚处分条例》（国务院令第427号）及其他有关法律法规依法处理。对经省级及以上审计和财政监督检查机构认定，存在失信、失范行为的单位，省财政将对该单位纳入信用负面清单管理，在两年内取消其省级所有专项资金申报资格，情节特别严重的，五年内取消其省级所有专项资金申报资格。</w:t>
      </w:r>
    </w:p>
    <w:p>
      <w:pPr>
        <w:keepNext w:val="0"/>
        <w:keepLines w:val="0"/>
        <w:pageBreakBefore w:val="0"/>
        <w:widowControl w:val="0"/>
        <w:kinsoku/>
        <w:wordWrap/>
        <w:overflowPunct/>
        <w:topLinePunct w:val="0"/>
        <w:autoSpaceDE/>
        <w:autoSpaceDN/>
        <w:bidi w:val="0"/>
        <w:spacing w:line="560" w:lineRule="exact"/>
        <w:ind w:firstLine="640"/>
        <w:textAlignment w:val="auto"/>
        <w:rPr>
          <w:rFonts w:ascii="Times New Roman" w:hAnsi="Times New Roman"/>
          <w:color w:val="auto"/>
          <w:szCs w:val="32"/>
        </w:rPr>
      </w:pPr>
      <w:r>
        <w:rPr>
          <w:rFonts w:ascii="Times New Roman" w:hAnsi="Times New Roman" w:eastAsia="楷体_GB2312"/>
          <w:color w:val="auto"/>
          <w:szCs w:val="32"/>
        </w:rPr>
        <w:t>（三）加大保险监督力度。</w:t>
      </w:r>
      <w:r>
        <w:rPr>
          <w:rFonts w:hint="eastAsia" w:ascii="Times New Roman" w:hAnsi="Times New Roman"/>
          <w:color w:val="auto"/>
          <w:szCs w:val="32"/>
        </w:rPr>
        <w:t>山东银保监局</w:t>
      </w:r>
      <w:r>
        <w:rPr>
          <w:rFonts w:ascii="Times New Roman" w:hAnsi="Times New Roman"/>
          <w:color w:val="auto"/>
          <w:szCs w:val="32"/>
        </w:rPr>
        <w:t>将加强对</w:t>
      </w:r>
      <w:r>
        <w:rPr>
          <w:rFonts w:hint="eastAsia" w:ascii="Times New Roman" w:hAnsi="Times New Roman"/>
          <w:color w:val="auto"/>
          <w:szCs w:val="32"/>
          <w:lang w:eastAsia="zh-CN"/>
        </w:rPr>
        <w:t>新材料首批次</w:t>
      </w:r>
      <w:r>
        <w:rPr>
          <w:rFonts w:ascii="Times New Roman" w:hAnsi="Times New Roman"/>
          <w:color w:val="auto"/>
          <w:szCs w:val="32"/>
        </w:rPr>
        <w:t>保险业务活动的监督管理，适时会同省财政厅、省</w:t>
      </w:r>
      <w:r>
        <w:rPr>
          <w:rFonts w:hint="eastAsia" w:ascii="Times New Roman" w:hAnsi="Times New Roman"/>
          <w:color w:val="auto"/>
          <w:szCs w:val="32"/>
        </w:rPr>
        <w:t>工业和信息化厅</w:t>
      </w:r>
      <w:r>
        <w:rPr>
          <w:rFonts w:ascii="Times New Roman" w:hAnsi="Times New Roman"/>
          <w:color w:val="auto"/>
          <w:szCs w:val="32"/>
        </w:rPr>
        <w:t>对保险补偿工作进行监督检查，发现问题将按照有关法律法规和规定严肃处理。</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 w:hAnsi="仿宋" w:eastAsia="仿宋" w:cs="仿宋"/>
          <w:color w:val="auto"/>
          <w:szCs w:val="32"/>
        </w:rPr>
      </w:pPr>
      <w:r>
        <w:rPr>
          <w:rFonts w:hint="eastAsia" w:ascii="仿宋" w:hAnsi="仿宋" w:eastAsia="仿宋" w:cs="仿宋"/>
          <w:color w:val="auto"/>
          <w:szCs w:val="32"/>
        </w:rPr>
        <w:t>附件：</w:t>
      </w:r>
      <w:r>
        <w:rPr>
          <w:rFonts w:hint="eastAsia" w:ascii="仿宋" w:hAnsi="仿宋" w:eastAsia="仿宋" w:cs="仿宋"/>
          <w:color w:val="auto"/>
          <w:szCs w:val="32"/>
          <w:lang w:val="en-US" w:eastAsia="zh-CN"/>
        </w:rPr>
        <w:t>3-</w:t>
      </w:r>
      <w:r>
        <w:rPr>
          <w:rFonts w:hint="eastAsia" w:ascii="仿宋" w:hAnsi="仿宋" w:eastAsia="仿宋" w:cs="仿宋"/>
          <w:color w:val="auto"/>
          <w:szCs w:val="32"/>
        </w:rPr>
        <w:t>1.202</w:t>
      </w:r>
      <w:r>
        <w:rPr>
          <w:rFonts w:hint="eastAsia" w:ascii="仿宋" w:hAnsi="仿宋" w:eastAsia="仿宋" w:cs="仿宋"/>
          <w:color w:val="auto"/>
          <w:szCs w:val="32"/>
          <w:lang w:val="en-US" w:eastAsia="zh-CN"/>
        </w:rPr>
        <w:t>1</w:t>
      </w:r>
      <w:r>
        <w:rPr>
          <w:rFonts w:hint="eastAsia" w:ascii="仿宋" w:hAnsi="仿宋" w:eastAsia="仿宋" w:cs="仿宋"/>
          <w:color w:val="auto"/>
          <w:szCs w:val="32"/>
        </w:rPr>
        <w:t>年度山东省新材料首批次保险补偿</w:t>
      </w:r>
      <w:r>
        <w:rPr>
          <w:rFonts w:hint="eastAsia" w:ascii="仿宋" w:hAnsi="仿宋" w:eastAsia="仿宋" w:cs="仿宋"/>
          <w:color w:val="auto"/>
          <w:szCs w:val="32"/>
          <w:lang w:eastAsia="zh-CN"/>
        </w:rPr>
        <w:t>申报书</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 w:hAnsi="仿宋" w:eastAsia="仿宋" w:cs="仿宋"/>
          <w:color w:val="auto"/>
          <w:szCs w:val="32"/>
        </w:rPr>
      </w:pPr>
      <w:r>
        <w:rPr>
          <w:rFonts w:hint="eastAsia" w:ascii="仿宋" w:hAnsi="仿宋" w:eastAsia="仿宋" w:cs="仿宋"/>
          <w:color w:val="auto"/>
          <w:szCs w:val="32"/>
        </w:rPr>
        <w:t xml:space="preserve">     </w:t>
      </w:r>
      <w:r>
        <w:rPr>
          <w:rFonts w:hint="eastAsia" w:ascii="仿宋" w:hAnsi="仿宋" w:eastAsia="仿宋" w:cs="仿宋"/>
          <w:color w:val="auto"/>
          <w:szCs w:val="32"/>
          <w:lang w:val="en-US" w:eastAsia="zh-CN"/>
        </w:rPr>
        <w:t>3-</w:t>
      </w:r>
      <w:r>
        <w:rPr>
          <w:rFonts w:hint="eastAsia" w:ascii="仿宋" w:hAnsi="仿宋" w:eastAsia="仿宋" w:cs="仿宋"/>
          <w:color w:val="auto"/>
          <w:szCs w:val="32"/>
        </w:rPr>
        <w:t>2.</w:t>
      </w:r>
      <w:r>
        <w:rPr>
          <w:rFonts w:hint="eastAsia" w:ascii="仿宋" w:hAnsi="仿宋" w:eastAsia="仿宋" w:cs="仿宋"/>
          <w:color w:val="auto"/>
          <w:szCs w:val="32"/>
        </w:rPr>
        <w:fldChar w:fldCharType="begin"/>
      </w:r>
      <w:r>
        <w:rPr>
          <w:rFonts w:hint="eastAsia" w:ascii="仿宋" w:hAnsi="仿宋" w:eastAsia="仿宋" w:cs="仿宋"/>
          <w:color w:val="auto"/>
          <w:szCs w:val="32"/>
        </w:rPr>
        <w:instrText xml:space="preserve"> HYPERLINK "http://gxt.shandong.gov.cn/art/2020/3/30/art_15201_8980169.html" \t "http://gxt.shandong.gov.cn/col/col15201/_blank" </w:instrText>
      </w:r>
      <w:r>
        <w:rPr>
          <w:rFonts w:hint="eastAsia" w:ascii="仿宋" w:hAnsi="仿宋" w:eastAsia="仿宋" w:cs="仿宋"/>
          <w:color w:val="auto"/>
          <w:szCs w:val="32"/>
        </w:rPr>
        <w:fldChar w:fldCharType="separate"/>
      </w:r>
      <w:r>
        <w:rPr>
          <w:rFonts w:hint="eastAsia" w:ascii="仿宋" w:hAnsi="仿宋" w:eastAsia="仿宋" w:cs="仿宋"/>
          <w:color w:val="auto"/>
          <w:szCs w:val="32"/>
        </w:rPr>
        <w:t>山东省重点新材料首批次应用示范指导目录</w:t>
      </w:r>
    </w:p>
    <w:p>
      <w:pPr>
        <w:keepNext w:val="0"/>
        <w:keepLines w:val="0"/>
        <w:pageBreakBefore w:val="0"/>
        <w:widowControl w:val="0"/>
        <w:kinsoku/>
        <w:wordWrap/>
        <w:overflowPunct/>
        <w:topLinePunct w:val="0"/>
        <w:autoSpaceDE/>
        <w:autoSpaceDN/>
        <w:bidi w:val="0"/>
        <w:spacing w:line="560" w:lineRule="exact"/>
        <w:ind w:firstLine="1920" w:firstLineChars="600"/>
        <w:textAlignment w:val="auto"/>
        <w:rPr>
          <w:rFonts w:hint="eastAsia" w:ascii="仿宋" w:hAnsi="仿宋" w:eastAsia="仿宋" w:cs="仿宋"/>
          <w:color w:val="auto"/>
          <w:szCs w:val="32"/>
        </w:rPr>
      </w:pPr>
      <w:r>
        <w:rPr>
          <w:rFonts w:hint="eastAsia" w:ascii="仿宋" w:hAnsi="仿宋" w:eastAsia="仿宋" w:cs="仿宋"/>
          <w:color w:val="auto"/>
          <w:szCs w:val="32"/>
        </w:rPr>
        <w:t>（2020年版）</w:t>
      </w:r>
      <w:r>
        <w:rPr>
          <w:rFonts w:hint="eastAsia" w:ascii="仿宋" w:hAnsi="仿宋" w:eastAsia="仿宋" w:cs="仿宋"/>
          <w:color w:val="auto"/>
          <w:szCs w:val="32"/>
        </w:rPr>
        <w:fldChar w:fldCharType="end"/>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 w:hAnsi="仿宋" w:eastAsia="仿宋" w:cs="仿宋"/>
          <w:color w:val="auto"/>
          <w:szCs w:val="32"/>
        </w:rPr>
      </w:pPr>
      <w:r>
        <w:rPr>
          <w:rFonts w:hint="eastAsia" w:ascii="仿宋" w:hAnsi="仿宋" w:eastAsia="仿宋" w:cs="仿宋"/>
          <w:color w:val="auto"/>
          <w:szCs w:val="32"/>
          <w:lang w:val="en-US" w:eastAsia="zh-CN"/>
        </w:rPr>
        <w:t xml:space="preserve">     3-3.</w:t>
      </w:r>
      <w:r>
        <w:rPr>
          <w:rFonts w:hint="eastAsia" w:ascii="仿宋" w:hAnsi="仿宋" w:eastAsia="仿宋" w:cs="仿宋"/>
          <w:color w:val="auto"/>
          <w:szCs w:val="32"/>
        </w:rPr>
        <w:fldChar w:fldCharType="begin"/>
      </w:r>
      <w:r>
        <w:rPr>
          <w:rFonts w:hint="eastAsia" w:ascii="仿宋" w:hAnsi="仿宋" w:eastAsia="仿宋" w:cs="仿宋"/>
          <w:color w:val="auto"/>
          <w:szCs w:val="32"/>
        </w:rPr>
        <w:instrText xml:space="preserve"> HYPERLINK "http://gxt.shandong.gov.cn/art/2020/3/30/art_15201_8980169.html" \t "http://gxt.shandong.gov.cn/col/col15201/_blank" </w:instrText>
      </w:r>
      <w:r>
        <w:rPr>
          <w:rFonts w:hint="eastAsia" w:ascii="仿宋" w:hAnsi="仿宋" w:eastAsia="仿宋" w:cs="仿宋"/>
          <w:color w:val="auto"/>
          <w:szCs w:val="32"/>
        </w:rPr>
        <w:fldChar w:fldCharType="separate"/>
      </w:r>
      <w:r>
        <w:rPr>
          <w:rFonts w:hint="eastAsia" w:ascii="仿宋" w:hAnsi="仿宋" w:eastAsia="仿宋" w:cs="仿宋"/>
          <w:color w:val="auto"/>
          <w:szCs w:val="32"/>
        </w:rPr>
        <w:t>山东省重点新材料首批次应用示范指导目录</w:t>
      </w:r>
    </w:p>
    <w:p>
      <w:pPr>
        <w:keepNext w:val="0"/>
        <w:keepLines w:val="0"/>
        <w:pageBreakBefore w:val="0"/>
        <w:widowControl w:val="0"/>
        <w:kinsoku/>
        <w:wordWrap/>
        <w:overflowPunct/>
        <w:topLinePunct w:val="0"/>
        <w:autoSpaceDE/>
        <w:autoSpaceDN/>
        <w:bidi w:val="0"/>
        <w:spacing w:line="560" w:lineRule="exact"/>
        <w:ind w:firstLine="1920" w:firstLineChars="600"/>
        <w:textAlignment w:val="auto"/>
        <w:rPr>
          <w:rFonts w:ascii="Times New Roman" w:hAnsi="Times New Roman"/>
          <w:color w:val="auto"/>
          <w:szCs w:val="32"/>
        </w:rPr>
        <w:sectPr>
          <w:headerReference r:id="rId3" w:type="default"/>
          <w:footerReference r:id="rId4" w:type="default"/>
          <w:pgSz w:w="11907" w:h="16840"/>
          <w:pgMar w:top="1417" w:right="1644" w:bottom="1417" w:left="1644" w:header="851" w:footer="1361"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 w:hAnsi="仿宋" w:eastAsia="仿宋" w:cs="仿宋"/>
          <w:color w:val="auto"/>
          <w:szCs w:val="32"/>
        </w:rPr>
        <w:t>（202</w:t>
      </w:r>
      <w:r>
        <w:rPr>
          <w:rFonts w:hint="eastAsia" w:ascii="仿宋" w:hAnsi="仿宋" w:eastAsia="仿宋" w:cs="仿宋"/>
          <w:color w:val="auto"/>
          <w:szCs w:val="32"/>
          <w:lang w:val="en-US" w:eastAsia="zh-CN"/>
        </w:rPr>
        <w:t>1</w:t>
      </w:r>
      <w:r>
        <w:rPr>
          <w:rFonts w:hint="eastAsia" w:ascii="仿宋" w:hAnsi="仿宋" w:eastAsia="仿宋" w:cs="仿宋"/>
          <w:color w:val="auto"/>
          <w:szCs w:val="32"/>
        </w:rPr>
        <w:t>年版）</w:t>
      </w:r>
      <w:r>
        <w:rPr>
          <w:rFonts w:hint="eastAsia" w:ascii="仿宋" w:hAnsi="仿宋" w:eastAsia="仿宋" w:cs="仿宋"/>
          <w:color w:val="auto"/>
          <w:szCs w:val="32"/>
        </w:rPr>
        <w:fldChar w:fldCharType="end"/>
      </w:r>
    </w:p>
    <w:p>
      <w:pPr>
        <w:pStyle w:val="2"/>
        <w:ind w:left="0" w:leftChars="0" w:firstLine="0" w:firstLineChars="0"/>
        <w:rPr>
          <w:color w:val="auto"/>
        </w:rPr>
      </w:pPr>
    </w:p>
    <w:sectPr>
      <w:footerReference r:id="rId5"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w:pict>
        <v:shape id="_x0000_s3094" o:spid="_x0000_s3094" o:spt="202" type="#_x0000_t202" style="position:absolute;left:0pt;margin-top:0pt;height:144pt;width:144pt;mso-position-horizontal:center;mso-position-horizontal-relative:margin;mso-wrap-style:none;z-index:251675648;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w:pict>
        <v:shape id="_x0000_s3091" o:spid="_x0000_s3091"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26</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D5504E4"/>
    <w:rsid w:val="00157278"/>
    <w:rsid w:val="002E5127"/>
    <w:rsid w:val="00503945"/>
    <w:rsid w:val="00685FC3"/>
    <w:rsid w:val="006B33C9"/>
    <w:rsid w:val="008A0CC9"/>
    <w:rsid w:val="0090586A"/>
    <w:rsid w:val="00974DB4"/>
    <w:rsid w:val="0098040F"/>
    <w:rsid w:val="00A22817"/>
    <w:rsid w:val="00B45113"/>
    <w:rsid w:val="00BA2B14"/>
    <w:rsid w:val="00BF5A69"/>
    <w:rsid w:val="00C004A7"/>
    <w:rsid w:val="00DC1FFA"/>
    <w:rsid w:val="00E12D15"/>
    <w:rsid w:val="00ED460A"/>
    <w:rsid w:val="022F053B"/>
    <w:rsid w:val="03B91F0D"/>
    <w:rsid w:val="043832EF"/>
    <w:rsid w:val="046A5C79"/>
    <w:rsid w:val="06036483"/>
    <w:rsid w:val="06223E20"/>
    <w:rsid w:val="063A216F"/>
    <w:rsid w:val="06C21622"/>
    <w:rsid w:val="077F6882"/>
    <w:rsid w:val="08142F09"/>
    <w:rsid w:val="08866ADA"/>
    <w:rsid w:val="096255DA"/>
    <w:rsid w:val="0AA9072E"/>
    <w:rsid w:val="0AB770C4"/>
    <w:rsid w:val="0B1338B8"/>
    <w:rsid w:val="0B295A5C"/>
    <w:rsid w:val="0B9A2317"/>
    <w:rsid w:val="0C1C3D79"/>
    <w:rsid w:val="0CFC11A4"/>
    <w:rsid w:val="0EAC0F21"/>
    <w:rsid w:val="0EE37F5C"/>
    <w:rsid w:val="11185797"/>
    <w:rsid w:val="14F46107"/>
    <w:rsid w:val="15B228AA"/>
    <w:rsid w:val="16600ED8"/>
    <w:rsid w:val="16790116"/>
    <w:rsid w:val="183557D4"/>
    <w:rsid w:val="18AB6625"/>
    <w:rsid w:val="18D557B2"/>
    <w:rsid w:val="1A0B4BF1"/>
    <w:rsid w:val="1A5B6874"/>
    <w:rsid w:val="1B3874B6"/>
    <w:rsid w:val="1B3B1FD8"/>
    <w:rsid w:val="1C2A7760"/>
    <w:rsid w:val="1E9F004B"/>
    <w:rsid w:val="1EB3334E"/>
    <w:rsid w:val="1F3604A9"/>
    <w:rsid w:val="2037339E"/>
    <w:rsid w:val="24C641F8"/>
    <w:rsid w:val="27723A43"/>
    <w:rsid w:val="27E3221E"/>
    <w:rsid w:val="2A5825A1"/>
    <w:rsid w:val="2C82294B"/>
    <w:rsid w:val="2C8D4806"/>
    <w:rsid w:val="2D415C3B"/>
    <w:rsid w:val="2EAE0B4D"/>
    <w:rsid w:val="30886513"/>
    <w:rsid w:val="30D14926"/>
    <w:rsid w:val="32697D44"/>
    <w:rsid w:val="326D611A"/>
    <w:rsid w:val="33B040A5"/>
    <w:rsid w:val="33C73128"/>
    <w:rsid w:val="347826F1"/>
    <w:rsid w:val="355F22FA"/>
    <w:rsid w:val="36C572E8"/>
    <w:rsid w:val="38F54FFF"/>
    <w:rsid w:val="3C987C6C"/>
    <w:rsid w:val="3E1B52F1"/>
    <w:rsid w:val="3F150D8C"/>
    <w:rsid w:val="3F521283"/>
    <w:rsid w:val="418A5F55"/>
    <w:rsid w:val="41C80385"/>
    <w:rsid w:val="422750F9"/>
    <w:rsid w:val="42EB7468"/>
    <w:rsid w:val="43C261AA"/>
    <w:rsid w:val="43F07D06"/>
    <w:rsid w:val="44357A86"/>
    <w:rsid w:val="46D82934"/>
    <w:rsid w:val="479120DD"/>
    <w:rsid w:val="48D66B07"/>
    <w:rsid w:val="491B3AD9"/>
    <w:rsid w:val="495E7E15"/>
    <w:rsid w:val="4AEB3076"/>
    <w:rsid w:val="4B866AF8"/>
    <w:rsid w:val="4C0C5FA6"/>
    <w:rsid w:val="4C2B69DA"/>
    <w:rsid w:val="4CC66BAE"/>
    <w:rsid w:val="4CDA0323"/>
    <w:rsid w:val="4FD3220A"/>
    <w:rsid w:val="4FD52226"/>
    <w:rsid w:val="509016B8"/>
    <w:rsid w:val="50FB0F1D"/>
    <w:rsid w:val="5151409E"/>
    <w:rsid w:val="52163C18"/>
    <w:rsid w:val="52B007B9"/>
    <w:rsid w:val="545F07B9"/>
    <w:rsid w:val="57A9565E"/>
    <w:rsid w:val="58CD5D09"/>
    <w:rsid w:val="58D13E81"/>
    <w:rsid w:val="5BB65F25"/>
    <w:rsid w:val="5C1E230A"/>
    <w:rsid w:val="5D486C09"/>
    <w:rsid w:val="5E5644D2"/>
    <w:rsid w:val="5F3F31B2"/>
    <w:rsid w:val="5F9C2DF0"/>
    <w:rsid w:val="600E1625"/>
    <w:rsid w:val="60296BA7"/>
    <w:rsid w:val="612A4BDB"/>
    <w:rsid w:val="623376B8"/>
    <w:rsid w:val="64C27C10"/>
    <w:rsid w:val="64D97030"/>
    <w:rsid w:val="67156CF3"/>
    <w:rsid w:val="6749577F"/>
    <w:rsid w:val="678D07F2"/>
    <w:rsid w:val="68837A86"/>
    <w:rsid w:val="68C77275"/>
    <w:rsid w:val="699421BF"/>
    <w:rsid w:val="69B715AA"/>
    <w:rsid w:val="6A4D3792"/>
    <w:rsid w:val="6A616D9F"/>
    <w:rsid w:val="6D5504E4"/>
    <w:rsid w:val="6D817557"/>
    <w:rsid w:val="6E5D5F16"/>
    <w:rsid w:val="6F7A03FB"/>
    <w:rsid w:val="700A405F"/>
    <w:rsid w:val="703219A0"/>
    <w:rsid w:val="70FD79DA"/>
    <w:rsid w:val="716C5E4A"/>
    <w:rsid w:val="72C75C01"/>
    <w:rsid w:val="72F925CC"/>
    <w:rsid w:val="73D11138"/>
    <w:rsid w:val="753871D3"/>
    <w:rsid w:val="75AD472C"/>
    <w:rsid w:val="75E154D4"/>
    <w:rsid w:val="76164745"/>
    <w:rsid w:val="77C879DE"/>
    <w:rsid w:val="790D6171"/>
    <w:rsid w:val="7B416795"/>
    <w:rsid w:val="7E7211F6"/>
    <w:rsid w:val="7EBF0D00"/>
    <w:rsid w:val="7FA40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仿宋_GB2312" w:hAnsi="仿宋_GB2312"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99"/>
    <w:pPr>
      <w:jc w:val="left"/>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Char Char Char"/>
    <w:basedOn w:val="1"/>
    <w:qFormat/>
    <w:uiPriority w:val="0"/>
    <w:pPr>
      <w:widowControl/>
      <w:spacing w:after="160" w:line="240" w:lineRule="exact"/>
      <w:jc w:val="left"/>
    </w:pPr>
    <w:rPr>
      <w:sz w:val="28"/>
      <w:szCs w:val="20"/>
    </w:rPr>
  </w:style>
  <w:style w:type="paragraph" w:customStyle="1" w:styleId="12">
    <w:name w:val="Char Char Char Char Char Char Char Char Char Char Char Char Char1"/>
    <w:basedOn w:val="1"/>
    <w:qFormat/>
    <w:uiPriority w:val="0"/>
    <w:pPr>
      <w:widowControl/>
      <w:spacing w:after="160" w:line="240" w:lineRule="exact"/>
      <w:jc w:val="left"/>
    </w:pPr>
    <w:rPr>
      <w:sz w:val="28"/>
      <w:szCs w:val="20"/>
    </w:rPr>
  </w:style>
  <w:style w:type="character" w:customStyle="1" w:styleId="13">
    <w:name w:val="font01"/>
    <w:basedOn w:val="8"/>
    <w:qFormat/>
    <w:uiPriority w:val="0"/>
    <w:rPr>
      <w:rFonts w:hint="default" w:ascii="Times New Roman" w:hAnsi="Times New Roman" w:cs="Times New Roman"/>
      <w:color w:val="000000"/>
      <w:sz w:val="24"/>
      <w:szCs w:val="24"/>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paragraph" w:customStyle="1" w:styleId="15">
    <w:name w:val="0"/>
    <w:basedOn w:val="1"/>
    <w:qFormat/>
    <w:uiPriority w:val="0"/>
    <w:pPr>
      <w:widowControl/>
      <w:snapToGrid w:val="0"/>
    </w:pPr>
    <w:rPr>
      <w:kern w:val="0"/>
      <w:szCs w:val="21"/>
    </w:rPr>
  </w:style>
  <w:style w:type="character" w:customStyle="1" w:styleId="16">
    <w:name w:val="font21"/>
    <w:basedOn w:val="8"/>
    <w:qFormat/>
    <w:uiPriority w:val="0"/>
    <w:rPr>
      <w:rFonts w:hint="eastAsia" w:ascii="宋体" w:hAnsi="宋体" w:eastAsia="宋体" w:cs="宋体"/>
      <w:b/>
      <w:color w:val="000000"/>
      <w:sz w:val="24"/>
      <w:szCs w:val="24"/>
      <w:u w:val="none"/>
    </w:rPr>
  </w:style>
  <w:style w:type="character" w:customStyle="1" w:styleId="17">
    <w:name w:val="批注框文本 字符"/>
    <w:basedOn w:val="8"/>
    <w:link w:val="4"/>
    <w:qFormat/>
    <w:uiPriority w:val="0"/>
    <w:rPr>
      <w:rFonts w:ascii="仿宋_GB2312" w:hAnsi="仿宋_GB2312" w:eastAsia="仿宋_GB2312"/>
      <w:kern w:val="2"/>
      <w:sz w:val="18"/>
      <w:szCs w:val="18"/>
    </w:rPr>
  </w:style>
  <w:style w:type="character" w:customStyle="1" w:styleId="18">
    <w:name w:val="页眉 字符"/>
    <w:basedOn w:val="8"/>
    <w:link w:val="6"/>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94" textRotate="1"/>
    <customShpInfo spid="_x0000_s309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1367</Words>
  <Characters>7796</Characters>
  <Lines>64</Lines>
  <Paragraphs>18</Paragraphs>
  <TotalTime>0</TotalTime>
  <ScaleCrop>false</ScaleCrop>
  <LinksUpToDate>false</LinksUpToDate>
  <CharactersWithSpaces>9145</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2019-08-23T07:18:00Z</dcterms:created>
  <dc:creator>lenovo</dc:creator>
  <cp:lastModifiedBy>C</cp:lastModifiedBy>
  <cp:lastPrinted>2021-08-31T05:46:00Z</cp:lastPrinted>
  <dcterms:modified xsi:type="dcterms:W3CDTF">2021-09-02T00:29:52Z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