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0" w:firstLineChars="0"/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</w:rPr>
        <w:t>2</w:t>
      </w:r>
      <w:r>
        <w:rPr>
          <w:rFonts w:ascii="Times New Roman" w:hAnsi="Times New Roman" w:eastAsia="黑体"/>
          <w:color w:val="auto"/>
        </w:rPr>
        <w:t>：</w:t>
      </w:r>
    </w:p>
    <w:p>
      <w:pPr>
        <w:ind w:firstLine="0" w:firstLineChars="0"/>
        <w:jc w:val="center"/>
        <w:rPr>
          <w:rFonts w:ascii="Times New Roman" w:hAnsi="Times New Roman" w:eastAsia="宋体"/>
          <w:b/>
          <w:bCs/>
          <w:color w:val="auto"/>
          <w:sz w:val="44"/>
          <w:szCs w:val="44"/>
        </w:rPr>
      </w:pPr>
      <w:r>
        <w:rPr>
          <w:rFonts w:ascii="Times New Roman" w:hAnsi="Times New Roman" w:eastAsia="宋体"/>
          <w:b/>
          <w:bCs/>
          <w:color w:val="auto"/>
          <w:sz w:val="44"/>
          <w:szCs w:val="44"/>
        </w:rPr>
        <w:t>20</w:t>
      </w:r>
      <w:r>
        <w:rPr>
          <w:rFonts w:hint="eastAsia" w:ascii="Times New Roman" w:hAnsi="Times New Roman" w:eastAsia="宋体"/>
          <w:b/>
          <w:bCs/>
          <w:color w:val="auto"/>
          <w:sz w:val="44"/>
          <w:szCs w:val="44"/>
        </w:rPr>
        <w:t>2</w:t>
      </w:r>
      <w:r>
        <w:rPr>
          <w:rFonts w:hint="eastAsia" w:ascii="Times New Roman" w:hAnsi="Times New Roman" w:eastAsia="宋体"/>
          <w:b/>
          <w:bCs/>
          <w:color w:val="auto"/>
          <w:sz w:val="44"/>
          <w:szCs w:val="44"/>
          <w:lang w:val="en-US" w:eastAsia="zh-CN"/>
        </w:rPr>
        <w:t>1</w:t>
      </w:r>
      <w:r>
        <w:rPr>
          <w:rFonts w:ascii="Times New Roman" w:hAnsi="Times New Roman" w:eastAsia="宋体"/>
          <w:b/>
          <w:bCs/>
          <w:color w:val="auto"/>
          <w:sz w:val="44"/>
          <w:szCs w:val="44"/>
        </w:rPr>
        <w:t>年度山东省首台（套）技术装备及</w:t>
      </w:r>
    </w:p>
    <w:p>
      <w:pPr>
        <w:ind w:firstLine="0" w:firstLineChars="0"/>
        <w:jc w:val="center"/>
        <w:rPr>
          <w:rFonts w:ascii="Times New Roman" w:hAnsi="Times New Roman" w:eastAsia="宋体"/>
          <w:b/>
          <w:bCs/>
          <w:color w:val="auto"/>
          <w:sz w:val="44"/>
          <w:szCs w:val="44"/>
        </w:rPr>
      </w:pPr>
      <w:r>
        <w:rPr>
          <w:rFonts w:ascii="Times New Roman" w:hAnsi="Times New Roman" w:eastAsia="宋体"/>
          <w:b/>
          <w:bCs/>
          <w:color w:val="auto"/>
          <w:sz w:val="44"/>
          <w:szCs w:val="44"/>
        </w:rPr>
        <w:t>关键核心零部件保险补偿申报指南</w:t>
      </w:r>
    </w:p>
    <w:p>
      <w:pPr>
        <w:ind w:firstLine="640"/>
        <w:rPr>
          <w:rFonts w:ascii="Times New Roman" w:hAnsi="Times New Roman"/>
          <w:color w:val="auto"/>
        </w:rPr>
      </w:pPr>
    </w:p>
    <w:p>
      <w:pPr>
        <w:spacing w:line="560" w:lineRule="exact"/>
        <w:ind w:firstLine="640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一、申报范围</w:t>
      </w:r>
    </w:p>
    <w:p>
      <w:pPr>
        <w:spacing w:line="560" w:lineRule="exact"/>
        <w:ind w:firstLine="64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  <w:lang w:eastAsia="zh-CN"/>
        </w:rPr>
        <w:t>生产</w:t>
      </w:r>
      <w:r>
        <w:rPr>
          <w:rFonts w:ascii="Times New Roman" w:hAnsi="Times New Roman"/>
          <w:color w:val="auto"/>
        </w:rPr>
        <w:t>《2021年度首台（套）技术装备及关键核心零部件推广应用指导目录》（详见附</w:t>
      </w:r>
      <w:r>
        <w:rPr>
          <w:rFonts w:hint="eastAsia" w:ascii="Times New Roman" w:hAnsi="Times New Roman"/>
          <w:color w:val="auto"/>
        </w:rPr>
        <w:t>2-3</w:t>
      </w:r>
      <w:r>
        <w:rPr>
          <w:rFonts w:ascii="Times New Roman" w:hAnsi="Times New Roman"/>
          <w:color w:val="auto"/>
        </w:rPr>
        <w:t>）内</w:t>
      </w:r>
      <w:r>
        <w:rPr>
          <w:rFonts w:hint="eastAsia" w:ascii="Times New Roman" w:hAnsi="Times New Roman"/>
          <w:color w:val="auto"/>
          <w:lang w:eastAsia="zh-CN"/>
        </w:rPr>
        <w:t>产品</w:t>
      </w:r>
      <w:r>
        <w:rPr>
          <w:rFonts w:ascii="Times New Roman" w:hAnsi="Times New Roman"/>
          <w:color w:val="auto"/>
        </w:rPr>
        <w:t>的企业，为其</w:t>
      </w:r>
      <w:r>
        <w:rPr>
          <w:rFonts w:hint="eastAsia" w:ascii="Times New Roman" w:hAnsi="Times New Roman"/>
          <w:color w:val="auto"/>
          <w:lang w:eastAsia="zh-CN"/>
        </w:rPr>
        <w:t>目录内的</w:t>
      </w:r>
      <w:r>
        <w:rPr>
          <w:rFonts w:ascii="Times New Roman" w:hAnsi="Times New Roman"/>
          <w:color w:val="auto"/>
        </w:rPr>
        <w:t>产品投保重大技术装备首台（套）质量险、责任险、综合险</w:t>
      </w:r>
      <w:r>
        <w:rPr>
          <w:rFonts w:hint="eastAsia" w:ascii="Times New Roman" w:hAnsi="Times New Roman"/>
          <w:color w:val="auto"/>
        </w:rPr>
        <w:t>，并在投保时限内</w:t>
      </w:r>
      <w:r>
        <w:rPr>
          <w:rFonts w:ascii="Times New Roman" w:hAnsi="Times New Roman"/>
          <w:color w:val="auto"/>
        </w:rPr>
        <w:t>实现销售，</w:t>
      </w:r>
      <w:r>
        <w:rPr>
          <w:rFonts w:hint="eastAsia" w:ascii="Times New Roman" w:hAnsi="Times New Roman"/>
          <w:color w:val="auto"/>
          <w:lang w:eastAsia="zh-CN"/>
        </w:rPr>
        <w:t>累计</w:t>
      </w:r>
      <w:r>
        <w:rPr>
          <w:rFonts w:ascii="Times New Roman" w:hAnsi="Times New Roman"/>
          <w:color w:val="auto"/>
        </w:rPr>
        <w:t>保费满20万元</w:t>
      </w:r>
      <w:r>
        <w:rPr>
          <w:rFonts w:hint="eastAsia" w:ascii="Times New Roman" w:hAnsi="Times New Roman"/>
          <w:color w:val="auto"/>
          <w:lang w:eastAsia="zh-CN"/>
        </w:rPr>
        <w:t>，</w:t>
      </w:r>
      <w:r>
        <w:rPr>
          <w:rFonts w:hint="eastAsia" w:ascii="Times New Roman" w:hAnsi="Times New Roman"/>
          <w:color w:val="auto"/>
        </w:rPr>
        <w:t>交付用户且保单正式生效，用户单位为非关联企业及贸易商，</w:t>
      </w:r>
      <w:r>
        <w:rPr>
          <w:rFonts w:hint="eastAsia" w:ascii="Times New Roman" w:hAnsi="Times New Roman"/>
          <w:color w:val="auto"/>
          <w:lang w:eastAsia="zh-CN"/>
        </w:rPr>
        <w:t>积极支持围绕重点产业链解决“卡脖子”技术、填补空白环节，具有自主知识产权，国内领先、国际先进的重大技术装备产品和关键核心零部件享受保险补偿政策。</w:t>
      </w:r>
      <w:r>
        <w:rPr>
          <w:rFonts w:ascii="Times New Roman" w:hAnsi="Times New Roman"/>
          <w:color w:val="auto"/>
        </w:rPr>
        <w:t>其中，首台（套）产品投保时限为：20</w:t>
      </w:r>
      <w:r>
        <w:rPr>
          <w:rFonts w:hint="eastAsia" w:ascii="Times New Roman" w:hAnsi="Times New Roman"/>
          <w:color w:val="auto"/>
          <w:lang w:val="en-US" w:eastAsia="zh-CN"/>
        </w:rPr>
        <w:t>20</w:t>
      </w:r>
      <w:r>
        <w:rPr>
          <w:rFonts w:ascii="Times New Roman" w:hAnsi="Times New Roman"/>
          <w:color w:val="auto"/>
        </w:rPr>
        <w:t>年</w:t>
      </w:r>
      <w:r>
        <w:rPr>
          <w:rFonts w:hint="eastAsia" w:ascii="Times New Roman" w:hAnsi="Times New Roman"/>
          <w:color w:val="auto"/>
          <w:lang w:val="en-US" w:eastAsia="zh-CN"/>
        </w:rPr>
        <w:t>10</w:t>
      </w:r>
      <w:r>
        <w:rPr>
          <w:rFonts w:ascii="Times New Roman" w:hAnsi="Times New Roman"/>
          <w:color w:val="auto"/>
        </w:rPr>
        <w:t>月</w:t>
      </w:r>
      <w:r>
        <w:rPr>
          <w:rFonts w:hint="eastAsia" w:ascii="Times New Roman" w:hAnsi="Times New Roman"/>
          <w:color w:val="auto"/>
        </w:rPr>
        <w:t>1</w:t>
      </w:r>
      <w:r>
        <w:rPr>
          <w:rFonts w:ascii="Times New Roman" w:hAnsi="Times New Roman"/>
          <w:color w:val="auto"/>
        </w:rPr>
        <w:t>日-20</w:t>
      </w:r>
      <w:r>
        <w:rPr>
          <w:rFonts w:hint="eastAsia" w:ascii="Times New Roman" w:hAnsi="Times New Roman"/>
          <w:color w:val="auto"/>
        </w:rPr>
        <w:t>2</w:t>
      </w:r>
      <w:r>
        <w:rPr>
          <w:rFonts w:hint="eastAsia" w:ascii="Times New Roman" w:hAnsi="Times New Roman"/>
          <w:color w:val="auto"/>
          <w:lang w:val="en-US" w:eastAsia="zh-CN"/>
        </w:rPr>
        <w:t>1</w:t>
      </w:r>
      <w:r>
        <w:rPr>
          <w:rFonts w:ascii="Times New Roman" w:hAnsi="Times New Roman"/>
          <w:color w:val="auto"/>
        </w:rPr>
        <w:t>年</w:t>
      </w:r>
      <w:r>
        <w:rPr>
          <w:rFonts w:hint="eastAsia" w:ascii="Times New Roman" w:hAnsi="Times New Roman"/>
          <w:color w:val="auto"/>
        </w:rPr>
        <w:t>9</w:t>
      </w:r>
      <w:r>
        <w:rPr>
          <w:rFonts w:ascii="Times New Roman" w:hAnsi="Times New Roman"/>
          <w:color w:val="auto"/>
        </w:rPr>
        <w:t>月</w:t>
      </w:r>
      <w:r>
        <w:rPr>
          <w:rFonts w:hint="eastAsia" w:ascii="Times New Roman" w:hAnsi="Times New Roman"/>
          <w:color w:val="auto"/>
          <w:lang w:val="en-US" w:eastAsia="zh-CN"/>
        </w:rPr>
        <w:t>7</w:t>
      </w:r>
      <w:r>
        <w:rPr>
          <w:rFonts w:ascii="Times New Roman" w:hAnsi="Times New Roman"/>
          <w:color w:val="auto"/>
        </w:rPr>
        <w:t>日。</w:t>
      </w:r>
      <w:bookmarkStart w:id="0" w:name="_GoBack"/>
      <w:bookmarkEnd w:id="0"/>
    </w:p>
    <w:p>
      <w:pPr>
        <w:spacing w:line="560" w:lineRule="exact"/>
        <w:ind w:firstLine="640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二、</w:t>
      </w:r>
      <w:r>
        <w:rPr>
          <w:rFonts w:hint="eastAsia" w:ascii="Times New Roman" w:hAnsi="Times New Roman" w:eastAsia="黑体"/>
          <w:color w:val="auto"/>
        </w:rPr>
        <w:t>支持</w:t>
      </w:r>
      <w:r>
        <w:rPr>
          <w:rFonts w:ascii="Times New Roman" w:hAnsi="Times New Roman" w:eastAsia="黑体"/>
          <w:color w:val="auto"/>
        </w:rPr>
        <w:t>标准</w:t>
      </w:r>
    </w:p>
    <w:p>
      <w:pPr>
        <w:spacing w:line="560" w:lineRule="exact"/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首台（套）技术装备及关键核心零部件企业提出保险补偿申请，企业需支付不低于保费总额30%的首期保费，其余保费的缴费时限和方式按照有关规定由保险双方协商确定，省财政将按不高于3%的费率上限及实际投保年度保费的80%的比例</w:t>
      </w:r>
      <w:r>
        <w:rPr>
          <w:rFonts w:hint="eastAsia" w:ascii="Times New Roman" w:hAnsi="Times New Roman"/>
          <w:color w:val="auto"/>
          <w:lang w:eastAsia="zh-CN"/>
        </w:rPr>
        <w:t>进行保费补贴</w:t>
      </w:r>
      <w:r>
        <w:rPr>
          <w:rFonts w:ascii="Times New Roman" w:hAnsi="Times New Roman"/>
          <w:color w:val="auto"/>
        </w:rPr>
        <w:t>，单户企业年度最高500万元。</w:t>
      </w:r>
    </w:p>
    <w:p>
      <w:pPr>
        <w:spacing w:line="560" w:lineRule="exact"/>
        <w:ind w:firstLine="640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三、申报材料要求</w:t>
      </w:r>
    </w:p>
    <w:p>
      <w:pPr>
        <w:spacing w:line="560" w:lineRule="exact"/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Cs w:val="32"/>
        </w:rPr>
        <w:t>申报项目单位必须按照申报材料模板要求（见附</w:t>
      </w:r>
      <w:r>
        <w:rPr>
          <w:rFonts w:hint="eastAsia" w:ascii="Times New Roman" w:hAnsi="Times New Roman"/>
          <w:color w:val="auto"/>
          <w:szCs w:val="32"/>
        </w:rPr>
        <w:t>2-</w:t>
      </w:r>
      <w:r>
        <w:rPr>
          <w:rFonts w:ascii="Times New Roman" w:hAnsi="Times New Roman"/>
          <w:color w:val="auto"/>
          <w:szCs w:val="32"/>
        </w:rPr>
        <w:t>1）顺序胶印，一式</w:t>
      </w:r>
      <w:r>
        <w:rPr>
          <w:rFonts w:hint="eastAsia" w:ascii="Times New Roman" w:hAnsi="Times New Roman"/>
          <w:color w:val="auto"/>
          <w:szCs w:val="32"/>
          <w:lang w:eastAsia="zh-CN"/>
        </w:rPr>
        <w:t>两</w:t>
      </w:r>
      <w:r>
        <w:rPr>
          <w:rFonts w:ascii="Times New Roman" w:hAnsi="Times New Roman"/>
          <w:color w:val="auto"/>
          <w:szCs w:val="32"/>
        </w:rPr>
        <w:t>份，经</w:t>
      </w:r>
      <w:r>
        <w:rPr>
          <w:rFonts w:ascii="Times New Roman" w:hAnsi="Times New Roman"/>
          <w:color w:val="auto"/>
        </w:rPr>
        <w:t>各市工业和信息化局,省财政直管县、经济发达县工业和信息化局</w:t>
      </w:r>
      <w:r>
        <w:rPr>
          <w:rFonts w:ascii="Times New Roman" w:hAnsi="Times New Roman"/>
          <w:color w:val="auto"/>
          <w:szCs w:val="32"/>
        </w:rPr>
        <w:t>初审并严格核对所有复印件的原件后，报送省</w:t>
      </w:r>
      <w:r>
        <w:rPr>
          <w:rFonts w:hint="eastAsia" w:ascii="Times New Roman" w:hAnsi="Times New Roman"/>
          <w:color w:val="auto"/>
          <w:szCs w:val="32"/>
        </w:rPr>
        <w:t>工信厅</w:t>
      </w:r>
      <w:r>
        <w:rPr>
          <w:rFonts w:ascii="Times New Roman" w:hAnsi="Times New Roman"/>
          <w:color w:val="auto"/>
          <w:szCs w:val="32"/>
        </w:rPr>
        <w:t>装备处（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</w:t>
      </w:r>
      <w:r>
        <w:rPr>
          <w:rFonts w:ascii="Times New Roman" w:hAnsi="Times New Roman"/>
          <w:color w:val="auto"/>
          <w:szCs w:val="32"/>
        </w:rPr>
        <w:t>份）、</w:t>
      </w:r>
      <w:r>
        <w:rPr>
          <w:rFonts w:hint="eastAsia" w:ascii="Times New Roman" w:hAnsi="Times New Roman"/>
          <w:color w:val="auto"/>
          <w:szCs w:val="32"/>
        </w:rPr>
        <w:t>山东银保监局</w:t>
      </w:r>
      <w:r>
        <w:rPr>
          <w:rFonts w:ascii="Times New Roman" w:hAnsi="Times New Roman"/>
          <w:color w:val="auto"/>
          <w:szCs w:val="32"/>
        </w:rPr>
        <w:t>（1份），电子版材料（PDF及WORD版本）刻录光盘同步报送。</w:t>
      </w:r>
    </w:p>
    <w:p>
      <w:pPr>
        <w:spacing w:line="560" w:lineRule="exact"/>
        <w:ind w:firstLine="640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四、其他要求</w:t>
      </w:r>
    </w:p>
    <w:p>
      <w:pPr>
        <w:spacing w:line="56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楷体_GB2312"/>
          <w:color w:val="auto"/>
          <w:szCs w:val="32"/>
        </w:rPr>
        <w:t>（一）合理确定投保数量（或金额）。</w:t>
      </w:r>
      <w:r>
        <w:rPr>
          <w:rFonts w:ascii="Times New Roman" w:hAnsi="Times New Roman"/>
          <w:color w:val="auto"/>
          <w:szCs w:val="32"/>
        </w:rPr>
        <w:t>生产企业应根据首台（套）技术装备及关键核心零部件产品实际市场推广需求确定投保数量（或金额），一经投保不得退保，销售合同应与保单相对应。为提高财政资金使用效益，省财政仅对投保且已实现销售的产品进行保费补偿。适用国家有关部门相关保险补偿扶持办法的企业，只能择一申报，不能重复享受财政资金扶持，鼓励申请国家保险补偿。</w:t>
      </w:r>
    </w:p>
    <w:p>
      <w:pPr>
        <w:spacing w:line="56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楷体_GB2312"/>
          <w:color w:val="auto"/>
          <w:szCs w:val="32"/>
        </w:rPr>
        <w:t>（二）加强补助资金管理。</w:t>
      </w:r>
      <w:r>
        <w:rPr>
          <w:rFonts w:ascii="Times New Roman" w:hAnsi="Times New Roman"/>
          <w:color w:val="auto"/>
          <w:szCs w:val="32"/>
        </w:rPr>
        <w:t>各级财政部门、</w:t>
      </w:r>
      <w:r>
        <w:rPr>
          <w:rFonts w:hint="eastAsia" w:ascii="Times New Roman" w:hAnsi="Times New Roman"/>
          <w:color w:val="auto"/>
          <w:szCs w:val="32"/>
        </w:rPr>
        <w:t>工业</w:t>
      </w:r>
      <w:r>
        <w:rPr>
          <w:rFonts w:ascii="Times New Roman" w:hAnsi="Times New Roman"/>
          <w:color w:val="auto"/>
          <w:szCs w:val="32"/>
        </w:rPr>
        <w:t>和信息化主管部门要高度重视，加强对保险补偿财政扶持资金的监督管理，确保保费补助资金及时拨付，对套取、截留或挤占挪用财政资金的，按照《财政违法行为处罚处分条例》（国务院令第427号）及其他有关法律法规依法处理。对经省级及以上审计和财政监督检查机构认定，存在失信、失范行为的单位，省财政将对该单位纳入信用负面清单管理，在两年内取消其省级所有专项资金申报资格，情节特别严重的，五年内取消其省级所有专项资金申报资格。</w:t>
      </w:r>
    </w:p>
    <w:p>
      <w:pPr>
        <w:spacing w:line="560" w:lineRule="exact"/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 w:eastAsia="楷体_GB2312"/>
          <w:color w:val="auto"/>
          <w:szCs w:val="32"/>
        </w:rPr>
        <w:t>（三）加大保险监督力度。</w:t>
      </w:r>
      <w:r>
        <w:rPr>
          <w:rFonts w:hint="eastAsia" w:ascii="Times New Roman" w:hAnsi="Times New Roman"/>
          <w:color w:val="auto"/>
          <w:szCs w:val="32"/>
        </w:rPr>
        <w:t>山东银保监局</w:t>
      </w:r>
      <w:r>
        <w:rPr>
          <w:rFonts w:ascii="Times New Roman" w:hAnsi="Times New Roman"/>
          <w:color w:val="auto"/>
          <w:szCs w:val="32"/>
        </w:rPr>
        <w:t>将加强对首台（套）及关键核心零部件保险业务活动的监督管理，适时会同省财政厅、省</w:t>
      </w:r>
      <w:r>
        <w:rPr>
          <w:rFonts w:hint="eastAsia" w:ascii="Times New Roman" w:hAnsi="Times New Roman"/>
          <w:color w:val="auto"/>
          <w:szCs w:val="32"/>
        </w:rPr>
        <w:t>工业和信息化厅</w:t>
      </w:r>
      <w:r>
        <w:rPr>
          <w:rFonts w:ascii="Times New Roman" w:hAnsi="Times New Roman"/>
          <w:color w:val="auto"/>
          <w:szCs w:val="32"/>
        </w:rPr>
        <w:t>对保险补偿工作进行监督检查，发现问题将按照有关法律法规和规定严肃处理。</w:t>
      </w:r>
    </w:p>
    <w:p>
      <w:pPr>
        <w:spacing w:line="560" w:lineRule="exact"/>
        <w:ind w:firstLine="640"/>
        <w:rPr>
          <w:rFonts w:ascii="Times New Roman" w:hAnsi="Times New Roman"/>
          <w:color w:val="auto"/>
        </w:rPr>
      </w:pPr>
    </w:p>
    <w:p>
      <w:pPr>
        <w:pStyle w:val="2"/>
        <w:rPr>
          <w:color w:val="auto"/>
        </w:rPr>
      </w:pPr>
    </w:p>
    <w:p>
      <w:pPr>
        <w:spacing w:line="560" w:lineRule="exact"/>
        <w:ind w:firstLine="64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附:2-1</w:t>
      </w:r>
      <w:r>
        <w:rPr>
          <w:rFonts w:ascii="Times New Roman" w:hAnsi="Times New Roman"/>
          <w:color w:val="auto"/>
        </w:rPr>
        <w:t>.20</w:t>
      </w:r>
      <w:r>
        <w:rPr>
          <w:rFonts w:hint="eastAsia" w:ascii="Times New Roman" w:hAnsi="Times New Roman"/>
          <w:color w:val="auto"/>
        </w:rPr>
        <w:t>2</w:t>
      </w:r>
      <w:r>
        <w:rPr>
          <w:rFonts w:hint="eastAsia" w:ascii="Times New Roman" w:hAnsi="Times New Roman"/>
          <w:color w:val="auto"/>
          <w:lang w:val="en-US" w:eastAsia="zh-CN"/>
        </w:rPr>
        <w:t>1</w:t>
      </w:r>
      <w:r>
        <w:rPr>
          <w:rFonts w:ascii="Times New Roman" w:hAnsi="Times New Roman"/>
          <w:color w:val="auto"/>
        </w:rPr>
        <w:t>年度首台（套）技术装备及关键核心零部件</w:t>
      </w:r>
    </w:p>
    <w:p>
      <w:pPr>
        <w:spacing w:line="560" w:lineRule="exact"/>
        <w:ind w:firstLine="1600" w:firstLineChars="5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保险补偿申报材料模板</w:t>
      </w:r>
    </w:p>
    <w:p>
      <w:pPr>
        <w:spacing w:line="560" w:lineRule="exact"/>
        <w:ind w:firstLine="0" w:firstLineChars="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 xml:space="preserve">      2-</w:t>
      </w:r>
      <w:r>
        <w:rPr>
          <w:rFonts w:ascii="Times New Roman" w:hAnsi="Times New Roman"/>
          <w:color w:val="auto"/>
        </w:rPr>
        <w:t>2.20</w:t>
      </w:r>
      <w:r>
        <w:rPr>
          <w:rFonts w:hint="eastAsia" w:ascii="Times New Roman" w:hAnsi="Times New Roman"/>
          <w:color w:val="auto"/>
        </w:rPr>
        <w:t>2</w:t>
      </w:r>
      <w:r>
        <w:rPr>
          <w:rFonts w:hint="eastAsia" w:ascii="Times New Roman" w:hAnsi="Times New Roman"/>
          <w:color w:val="auto"/>
          <w:lang w:val="en-US" w:eastAsia="zh-CN"/>
        </w:rPr>
        <w:t>1</w:t>
      </w:r>
      <w:r>
        <w:rPr>
          <w:rFonts w:ascii="Times New Roman" w:hAnsi="Times New Roman"/>
          <w:color w:val="auto"/>
        </w:rPr>
        <w:t>年度首台（套）技术装备及关键核心零部件</w:t>
      </w:r>
    </w:p>
    <w:p>
      <w:pPr>
        <w:spacing w:line="560" w:lineRule="exact"/>
        <w:ind w:firstLine="1600" w:firstLineChars="5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保险补偿财政扶持申请表</w:t>
      </w:r>
    </w:p>
    <w:p>
      <w:pPr>
        <w:spacing w:line="560" w:lineRule="exact"/>
        <w:ind w:firstLine="960" w:firstLineChars="3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2-3.</w:t>
      </w:r>
      <w:r>
        <w:rPr>
          <w:rFonts w:ascii="Times New Roman" w:hAnsi="Times New Roman"/>
          <w:color w:val="auto"/>
        </w:rPr>
        <w:t>申报材料真实性承诺书</w:t>
      </w:r>
    </w:p>
    <w:p>
      <w:pPr>
        <w:spacing w:line="560" w:lineRule="exact"/>
        <w:ind w:firstLine="960" w:firstLineChars="3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2-4</w:t>
      </w:r>
      <w:r>
        <w:rPr>
          <w:rFonts w:ascii="Times New Roman" w:hAnsi="Times New Roman"/>
          <w:color w:val="auto"/>
        </w:rPr>
        <w:t>.2021年度首台（套）技术装备及关键核心零部件</w:t>
      </w:r>
    </w:p>
    <w:p>
      <w:pPr>
        <w:spacing w:line="560" w:lineRule="exact"/>
        <w:ind w:firstLine="1600" w:firstLineChars="5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推广应用指导目录</w:t>
      </w:r>
    </w:p>
    <w:p>
      <w:pPr>
        <w:spacing w:line="560" w:lineRule="exact"/>
        <w:ind w:firstLine="0" w:firstLineChars="0"/>
        <w:rPr>
          <w:rFonts w:ascii="Times New Roman" w:hAnsi="Times New Roman"/>
          <w:color w:val="auto"/>
        </w:rPr>
      </w:pPr>
    </w:p>
    <w:p>
      <w:pPr>
        <w:spacing w:line="560" w:lineRule="exact"/>
        <w:ind w:firstLine="0" w:firstLineChars="0"/>
        <w:rPr>
          <w:rFonts w:ascii="Times New Roman" w:hAnsi="Times New Roman"/>
          <w:color w:val="auto"/>
        </w:rPr>
      </w:pPr>
    </w:p>
    <w:p>
      <w:pPr>
        <w:pStyle w:val="2"/>
        <w:ind w:firstLine="640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w:pict>
        <v:shape id="_x0000_s3091" o:spid="_x0000_s3091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eastAsia="仿宋_GB2312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26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D5504E4"/>
    <w:rsid w:val="00157278"/>
    <w:rsid w:val="002E5127"/>
    <w:rsid w:val="00503945"/>
    <w:rsid w:val="00685FC3"/>
    <w:rsid w:val="006B33C9"/>
    <w:rsid w:val="008A0CC9"/>
    <w:rsid w:val="0090586A"/>
    <w:rsid w:val="00974DB4"/>
    <w:rsid w:val="0098040F"/>
    <w:rsid w:val="00A22817"/>
    <w:rsid w:val="00B45113"/>
    <w:rsid w:val="00BA2B14"/>
    <w:rsid w:val="00BF5A69"/>
    <w:rsid w:val="00C004A7"/>
    <w:rsid w:val="00DC1FFA"/>
    <w:rsid w:val="00E12D15"/>
    <w:rsid w:val="00ED460A"/>
    <w:rsid w:val="022F053B"/>
    <w:rsid w:val="03B91F0D"/>
    <w:rsid w:val="043832EF"/>
    <w:rsid w:val="046A5C79"/>
    <w:rsid w:val="04D536A4"/>
    <w:rsid w:val="06036483"/>
    <w:rsid w:val="06223E20"/>
    <w:rsid w:val="063A216F"/>
    <w:rsid w:val="06C21622"/>
    <w:rsid w:val="077F6882"/>
    <w:rsid w:val="08142F09"/>
    <w:rsid w:val="08866ADA"/>
    <w:rsid w:val="096255DA"/>
    <w:rsid w:val="0AA9072E"/>
    <w:rsid w:val="0AB770C4"/>
    <w:rsid w:val="0B1338B8"/>
    <w:rsid w:val="0B295A5C"/>
    <w:rsid w:val="0B9A2317"/>
    <w:rsid w:val="0C1C3D79"/>
    <w:rsid w:val="0CFC11A4"/>
    <w:rsid w:val="0EAC0F21"/>
    <w:rsid w:val="0EE37F5C"/>
    <w:rsid w:val="11185797"/>
    <w:rsid w:val="14F46107"/>
    <w:rsid w:val="15B228AA"/>
    <w:rsid w:val="16600ED8"/>
    <w:rsid w:val="16790116"/>
    <w:rsid w:val="183557D4"/>
    <w:rsid w:val="18AB6625"/>
    <w:rsid w:val="18D557B2"/>
    <w:rsid w:val="1A0B4BF1"/>
    <w:rsid w:val="1A5B6874"/>
    <w:rsid w:val="1B3874B6"/>
    <w:rsid w:val="1B3B1FD8"/>
    <w:rsid w:val="1C2A7760"/>
    <w:rsid w:val="1E9F004B"/>
    <w:rsid w:val="1EB3334E"/>
    <w:rsid w:val="1F3604A9"/>
    <w:rsid w:val="2037339E"/>
    <w:rsid w:val="24C641F8"/>
    <w:rsid w:val="27723A43"/>
    <w:rsid w:val="27E3221E"/>
    <w:rsid w:val="2A5825A1"/>
    <w:rsid w:val="2C82294B"/>
    <w:rsid w:val="2C8D4806"/>
    <w:rsid w:val="2D415C3B"/>
    <w:rsid w:val="2EAE0B4D"/>
    <w:rsid w:val="2F182D10"/>
    <w:rsid w:val="30886513"/>
    <w:rsid w:val="30D14926"/>
    <w:rsid w:val="32697D44"/>
    <w:rsid w:val="326D611A"/>
    <w:rsid w:val="33B040A5"/>
    <w:rsid w:val="33C73128"/>
    <w:rsid w:val="347826F1"/>
    <w:rsid w:val="355F22FA"/>
    <w:rsid w:val="36C572E8"/>
    <w:rsid w:val="38F54FFF"/>
    <w:rsid w:val="3C987C6C"/>
    <w:rsid w:val="3E1B52F1"/>
    <w:rsid w:val="3F150D8C"/>
    <w:rsid w:val="3F521283"/>
    <w:rsid w:val="418A5F55"/>
    <w:rsid w:val="41C80385"/>
    <w:rsid w:val="422750F9"/>
    <w:rsid w:val="42EB7468"/>
    <w:rsid w:val="43C261AA"/>
    <w:rsid w:val="43F07D06"/>
    <w:rsid w:val="44357A86"/>
    <w:rsid w:val="46D82934"/>
    <w:rsid w:val="479120DD"/>
    <w:rsid w:val="48D66B07"/>
    <w:rsid w:val="491B3AD9"/>
    <w:rsid w:val="495E7E15"/>
    <w:rsid w:val="4AEB3076"/>
    <w:rsid w:val="4B866AF8"/>
    <w:rsid w:val="4C0C5FA6"/>
    <w:rsid w:val="4CC66BAE"/>
    <w:rsid w:val="4CDA0323"/>
    <w:rsid w:val="4FD3220A"/>
    <w:rsid w:val="4FD52226"/>
    <w:rsid w:val="509016B8"/>
    <w:rsid w:val="5151409E"/>
    <w:rsid w:val="52163C18"/>
    <w:rsid w:val="52B007B9"/>
    <w:rsid w:val="545F07B9"/>
    <w:rsid w:val="57A9565E"/>
    <w:rsid w:val="58CD5D09"/>
    <w:rsid w:val="5BB65F25"/>
    <w:rsid w:val="5C1E230A"/>
    <w:rsid w:val="5E5644D2"/>
    <w:rsid w:val="5F3F31B2"/>
    <w:rsid w:val="5F9C2DF0"/>
    <w:rsid w:val="600E1625"/>
    <w:rsid w:val="60296BA7"/>
    <w:rsid w:val="612A4BDB"/>
    <w:rsid w:val="623376B8"/>
    <w:rsid w:val="64C27C10"/>
    <w:rsid w:val="64D97030"/>
    <w:rsid w:val="67156CF3"/>
    <w:rsid w:val="6749577F"/>
    <w:rsid w:val="678D07F2"/>
    <w:rsid w:val="68837A86"/>
    <w:rsid w:val="68C77275"/>
    <w:rsid w:val="699421BF"/>
    <w:rsid w:val="69B715AA"/>
    <w:rsid w:val="6A4D3792"/>
    <w:rsid w:val="6A616D9F"/>
    <w:rsid w:val="6D5504E4"/>
    <w:rsid w:val="6D817557"/>
    <w:rsid w:val="6E5D5F16"/>
    <w:rsid w:val="6F7A03FB"/>
    <w:rsid w:val="700A405F"/>
    <w:rsid w:val="703219A0"/>
    <w:rsid w:val="70FD79DA"/>
    <w:rsid w:val="716C5E4A"/>
    <w:rsid w:val="72C75C01"/>
    <w:rsid w:val="72F925CC"/>
    <w:rsid w:val="73D11138"/>
    <w:rsid w:val="753871D3"/>
    <w:rsid w:val="75AD472C"/>
    <w:rsid w:val="75E154D4"/>
    <w:rsid w:val="76164745"/>
    <w:rsid w:val="77C879DE"/>
    <w:rsid w:val="790D6171"/>
    <w:rsid w:val="7B416795"/>
    <w:rsid w:val="7EBF0D00"/>
    <w:rsid w:val="7FA4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99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sz w:val="28"/>
      <w:szCs w:val="20"/>
    </w:rPr>
  </w:style>
  <w:style w:type="paragraph" w:customStyle="1" w:styleId="12">
    <w:name w:val="Char Char Char Char 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sz w:val="28"/>
      <w:szCs w:val="20"/>
    </w:rPr>
  </w:style>
  <w:style w:type="character" w:customStyle="1" w:styleId="13">
    <w:name w:val="font0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15">
    <w:name w:val="0"/>
    <w:basedOn w:val="1"/>
    <w:qFormat/>
    <w:uiPriority w:val="0"/>
    <w:pPr>
      <w:widowControl/>
      <w:snapToGrid w:val="0"/>
    </w:pPr>
    <w:rPr>
      <w:kern w:val="0"/>
      <w:szCs w:val="21"/>
    </w:rPr>
  </w:style>
  <w:style w:type="character" w:customStyle="1" w:styleId="16">
    <w:name w:val="font21"/>
    <w:basedOn w:val="8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7">
    <w:name w:val="批注框文本 字符"/>
    <w:basedOn w:val="8"/>
    <w:link w:val="4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8">
    <w:name w:val="页眉 字符"/>
    <w:basedOn w:val="8"/>
    <w:link w:val="6"/>
    <w:qFormat/>
    <w:uiPriority w:val="0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1367</Words>
  <Characters>7796</Characters>
  <Lines>64</Lines>
  <Paragraphs>18</Paragraphs>
  <TotalTime>2</TotalTime>
  <ScaleCrop>false</ScaleCrop>
  <LinksUpToDate>false</LinksUpToDate>
  <CharactersWithSpaces>9145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2019-08-23T07:18:00Z</dcterms:created>
  <dc:creator>lenovo</dc:creator>
  <cp:lastModifiedBy>装备产业处</cp:lastModifiedBy>
  <cp:lastPrinted>2021-08-31T05:46:00Z</cp:lastPrinted>
  <dcterms:modified xsi:type="dcterms:W3CDTF">2021-09-01T02:18:12Z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