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附件3</w:t>
      </w:r>
    </w:p>
    <w:p>
      <w:pPr>
        <w:pStyle w:val="4"/>
        <w:widowControl/>
        <w:shd w:val="clear" w:color="auto" w:fill="FFFFFF"/>
        <w:snapToGrid w:val="0"/>
        <w:spacing w:beforeAutospacing="0" w:afterAutospacing="0"/>
        <w:jc w:val="center"/>
        <w:rPr>
          <w:rFonts w:ascii="黑体" w:hAnsi="黑体" w:eastAsia="黑体" w:cs="黑体"/>
          <w:sz w:val="28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山东省地方标准项目申请书</w:t>
      </w:r>
    </w:p>
    <w:tbl>
      <w:tblPr>
        <w:tblStyle w:val="5"/>
        <w:tblW w:w="9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118"/>
        <w:gridCol w:w="1059"/>
        <w:gridCol w:w="359"/>
        <w:gridCol w:w="1066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标准名称</w:t>
            </w:r>
          </w:p>
        </w:tc>
        <w:tc>
          <w:tcPr>
            <w:tcW w:w="4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计划周期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</w:rPr>
              <w:t>）个月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hd w:val="clear" w:color="auto" w:fill="FFFFFF"/>
                <w:lang w:eastAsia="zh-CN"/>
              </w:rPr>
              <w:t>省有关行政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hd w:val="clear" w:color="auto" w:fill="FFFFFF"/>
                <w:lang w:eastAsia="zh-CN"/>
              </w:rPr>
              <w:t>主管</w:t>
            </w:r>
            <w:r>
              <w:rPr>
                <w:rFonts w:ascii="仿宋_GB2312" w:eastAsia="仿宋_GB2312"/>
                <w:sz w:val="24"/>
              </w:rPr>
              <w:t>部门</w:t>
            </w:r>
          </w:p>
        </w:tc>
        <w:tc>
          <w:tcPr>
            <w:tcW w:w="76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主导</w:t>
            </w:r>
            <w:r>
              <w:rPr>
                <w:rFonts w:ascii="仿宋_GB2312" w:eastAsia="仿宋_GB2312"/>
                <w:sz w:val="24"/>
              </w:rPr>
              <w:t>起草单位</w:t>
            </w:r>
          </w:p>
        </w:tc>
        <w:tc>
          <w:tcPr>
            <w:tcW w:w="76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部门履职范围</w:t>
            </w:r>
          </w:p>
        </w:tc>
        <w:tc>
          <w:tcPr>
            <w:tcW w:w="76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经济调节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市场监管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社会管理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公共服务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环境保护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标准性质</w:t>
            </w:r>
          </w:p>
        </w:tc>
        <w:tc>
          <w:tcPr>
            <w:tcW w:w="76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□强制性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□推荐性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填报人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联系电话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联系地址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联系邮箱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9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一、制定地方标准的必要性、可行性（标准制定背景意义；</w:t>
            </w:r>
            <w:r>
              <w:rPr>
                <w:rFonts w:ascii="仿宋_GB2312" w:hAnsi="仿宋_GB2312" w:eastAsia="仿宋_GB2312" w:cs="仿宋_GB2312"/>
                <w:sz w:val="24"/>
              </w:rPr>
              <w:t>标准制定的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政策</w:t>
            </w:r>
            <w:r>
              <w:rPr>
                <w:rFonts w:ascii="仿宋_GB2312" w:hAnsi="仿宋_GB2312" w:eastAsia="仿宋_GB2312" w:cs="仿宋_GB2312"/>
                <w:sz w:val="24"/>
              </w:rPr>
              <w:t>可行性、技术可行性、实践可行性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等）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  <w:jc w:val="center"/>
        </w:trPr>
        <w:tc>
          <w:tcPr>
            <w:tcW w:w="9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二、地方标准适用范围和主要技术内容（修订标准应当明确修订内容）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927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本领域地方标准体系框架分析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  <w:jc w:val="center"/>
        </w:trPr>
        <w:tc>
          <w:tcPr>
            <w:tcW w:w="927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与相关国家标准、行业标准协调配套情况；对标采标国际标准情况（标准先进性对标分析）</w:t>
            </w:r>
          </w:p>
          <w:p>
            <w:pPr>
              <w:numPr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五、起草单位情况、进度安排及保障措施（组织、人员、技术和经费等）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六、地方标准实施预期效益分析（经济效益、社会效益和生态效益等）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  <w:jc w:val="center"/>
        </w:trPr>
        <w:tc>
          <w:tcPr>
            <w:tcW w:w="9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" w:eastAsia="仿宋_GB2312"/>
                <w:spacing w:val="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8"/>
                <w:kern w:val="0"/>
                <w:sz w:val="24"/>
              </w:rPr>
              <w:t>七、地方标准组织实施及监督工作方案（组织实施方</w:t>
            </w:r>
            <w:r>
              <w:rPr>
                <w:rFonts w:hint="eastAsia" w:ascii="仿宋_GB2312" w:eastAsia="仿宋_GB2312"/>
                <w:spacing w:val="8"/>
                <w:kern w:val="0"/>
                <w:sz w:val="24"/>
                <w:lang w:val="en-US" w:eastAsia="zh-CN"/>
              </w:rPr>
              <w:t>案</w:t>
            </w:r>
            <w:r>
              <w:rPr>
                <w:rFonts w:hint="eastAsia" w:ascii="仿宋_GB2312" w:eastAsia="仿宋_GB2312"/>
                <w:spacing w:val="8"/>
                <w:kern w:val="0"/>
                <w:sz w:val="24"/>
              </w:rPr>
              <w:t>应包括标准宣贯、培训、实施计划和经费保障等；监督工作方案应包括监督的内容及方式、标准实施</w:t>
            </w:r>
            <w:r>
              <w:rPr>
                <w:rFonts w:ascii="仿宋_GB2312" w:eastAsia="仿宋_GB2312"/>
                <w:spacing w:val="8"/>
                <w:kern w:val="0"/>
                <w:sz w:val="24"/>
              </w:rPr>
              <w:t>要求</w:t>
            </w:r>
            <w:r>
              <w:rPr>
                <w:rFonts w:hint="eastAsia" w:ascii="仿宋_GB2312" w:eastAsia="仿宋_GB2312"/>
                <w:spacing w:val="8"/>
                <w:kern w:val="0"/>
                <w:sz w:val="24"/>
              </w:rPr>
              <w:t>落实情况及问题处理等）</w:t>
            </w:r>
          </w:p>
          <w:p>
            <w:pPr>
              <w:rPr>
                <w:rFonts w:ascii="仿宋_GB2312" w:hAnsi="仿宋" w:eastAsia="仿宋_GB2312" w:cs="宋体"/>
                <w:spacing w:val="8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9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" w:eastAsia="仿宋_GB2312"/>
                <w:spacing w:val="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8"/>
                <w:kern w:val="0"/>
                <w:sz w:val="24"/>
              </w:rPr>
              <w:t>八、有关部门协调情况（如</w:t>
            </w:r>
            <w:r>
              <w:rPr>
                <w:rFonts w:ascii="仿宋_GB2312" w:eastAsia="仿宋_GB2312"/>
                <w:spacing w:val="8"/>
                <w:kern w:val="0"/>
                <w:sz w:val="24"/>
              </w:rPr>
              <w:t>有</w:t>
            </w:r>
            <w:r>
              <w:rPr>
                <w:rFonts w:hint="eastAsia" w:ascii="仿宋_GB2312" w:eastAsia="仿宋_GB2312"/>
                <w:spacing w:val="8"/>
                <w:kern w:val="0"/>
                <w:sz w:val="24"/>
              </w:rPr>
              <w:t>职责交叉，</w:t>
            </w:r>
            <w:r>
              <w:rPr>
                <w:rFonts w:ascii="仿宋_GB2312" w:eastAsia="仿宋_GB2312"/>
                <w:spacing w:val="8"/>
                <w:kern w:val="0"/>
                <w:sz w:val="24"/>
              </w:rPr>
              <w:t>请予以说明</w:t>
            </w:r>
            <w:r>
              <w:rPr>
                <w:rFonts w:hint="eastAsia" w:ascii="仿宋_GB2312" w:eastAsia="仿宋_GB2312"/>
                <w:spacing w:val="8"/>
                <w:kern w:val="0"/>
                <w:sz w:val="24"/>
              </w:rPr>
              <w:t>）</w:t>
            </w:r>
          </w:p>
          <w:p>
            <w:pPr>
              <w:rPr>
                <w:rFonts w:ascii="仿宋_GB2312" w:hAnsi="仿宋" w:eastAsia="仿宋_GB2312" w:cs="宋体"/>
                <w:spacing w:val="8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9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" w:eastAsia="仿宋_GB2312"/>
                <w:spacing w:val="8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</w:rPr>
              <w:t>九、其他</w:t>
            </w:r>
          </w:p>
          <w:p>
            <w:pPr>
              <w:rPr>
                <w:rFonts w:ascii="仿宋_GB2312" w:eastAsia="仿宋_GB2312"/>
                <w:spacing w:val="8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  <w:jc w:val="center"/>
        </w:trPr>
        <w:tc>
          <w:tcPr>
            <w:tcW w:w="9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hd w:val="clear" w:color="auto" w:fill="FFFFFF"/>
                <w:lang w:eastAsia="zh-CN"/>
              </w:rPr>
              <w:t>省有关行政主管</w:t>
            </w:r>
            <w:r>
              <w:rPr>
                <w:rFonts w:hint="eastAsia" w:ascii="仿宋_GB2312" w:eastAsia="仿宋_GB2312"/>
                <w:sz w:val="24"/>
                <w:shd w:val="clear" w:color="auto" w:fill="FFFFFF"/>
              </w:rPr>
              <w:t>部门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意见：</w:t>
            </w:r>
          </w:p>
          <w:p>
            <w:pPr>
              <w:rPr>
                <w:rFonts w:ascii="仿宋_GB2312" w:hAnsi="仿宋" w:eastAsia="仿宋_GB2312" w:cs="宋体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ind w:firstLine="3240" w:firstLineChars="1350"/>
              <w:contextualSpacing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负责人（签字）：             （加盖公章）</w:t>
            </w:r>
          </w:p>
          <w:p>
            <w:pPr>
              <w:ind w:firstLine="6360" w:firstLineChars="2650"/>
              <w:rPr>
                <w:rFonts w:ascii="仿宋_GB2312" w:hAnsi="仿宋" w:eastAsia="仿宋_GB2312" w:cs="宋体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 月     日</w:t>
            </w:r>
          </w:p>
        </w:tc>
      </w:tr>
    </w:tbl>
    <w:p>
      <w:pPr>
        <w:spacing w:line="300" w:lineRule="exact"/>
        <w:ind w:left="630" w:hanging="630" w:hangingChars="300"/>
        <w:rPr>
          <w:rFonts w:ascii="仿宋_GB2312" w:eastAsia="仿宋_GB2312"/>
          <w:szCs w:val="21"/>
          <w:shd w:val="clear" w:color="auto" w:fill="FFFFFF"/>
        </w:rPr>
      </w:pPr>
      <w:r>
        <w:rPr>
          <w:rFonts w:hint="eastAsia" w:ascii="仿宋_GB2312" w:eastAsia="仿宋_GB2312"/>
          <w:szCs w:val="21"/>
          <w:shd w:val="clear" w:color="auto" w:fill="FFFFFF"/>
        </w:rPr>
        <w:t>注：</w:t>
      </w:r>
      <w:r>
        <w:rPr>
          <w:rFonts w:ascii="仿宋_GB2312" w:eastAsia="仿宋_GB2312"/>
          <w:szCs w:val="21"/>
          <w:shd w:val="clear" w:color="auto" w:fill="FFFFFF"/>
        </w:rPr>
        <w:t>1.标准名称应遵循GB/T 1.1</w:t>
      </w:r>
      <w:r>
        <w:rPr>
          <w:rFonts w:hint="eastAsia" w:ascii="仿宋_GB2312" w:eastAsia="仿宋_GB2312"/>
          <w:szCs w:val="21"/>
          <w:shd w:val="clear" w:color="auto" w:fill="FFFFFF"/>
        </w:rPr>
        <w:t>—</w:t>
      </w:r>
      <w:r>
        <w:rPr>
          <w:rFonts w:ascii="仿宋_GB2312" w:eastAsia="仿宋_GB2312"/>
          <w:szCs w:val="21"/>
          <w:shd w:val="clear" w:color="auto" w:fill="FFFFFF"/>
        </w:rPr>
        <w:t>2020《标准化工作导则  第1部分：标准化文件的结构和起草规则》以及GB/T 20001《标准编写规则》的规定。</w:t>
      </w:r>
    </w:p>
    <w:p>
      <w:pPr>
        <w:spacing w:line="300" w:lineRule="exact"/>
        <w:ind w:firstLine="420" w:firstLineChars="200"/>
        <w:rPr>
          <w:rFonts w:ascii="仿宋_GB2312" w:eastAsia="仿宋_GB2312"/>
          <w:szCs w:val="21"/>
          <w:shd w:val="clear" w:color="auto" w:fill="FFFFFF"/>
        </w:rPr>
      </w:pPr>
      <w:r>
        <w:rPr>
          <w:rFonts w:ascii="仿宋_GB2312" w:eastAsia="仿宋_GB2312"/>
          <w:szCs w:val="21"/>
          <w:shd w:val="clear" w:color="auto" w:fill="FFFFFF"/>
        </w:rPr>
        <w:t>2.山东省地方标准的标准名称原则上不包</w:t>
      </w:r>
      <w:r>
        <w:rPr>
          <w:rFonts w:hint="eastAsia" w:ascii="仿宋_GB2312" w:eastAsia="仿宋_GB2312"/>
          <w:szCs w:val="21"/>
          <w:shd w:val="clear" w:color="auto" w:fill="FFFFFF"/>
        </w:rPr>
        <w:t>含“山东省”和“标准”</w:t>
      </w:r>
      <w:r>
        <w:rPr>
          <w:rFonts w:ascii="仿宋_GB2312" w:eastAsia="仿宋_GB2312"/>
          <w:szCs w:val="21"/>
          <w:shd w:val="clear" w:color="auto" w:fill="FFFFFF"/>
        </w:rPr>
        <w:t>。</w:t>
      </w:r>
    </w:p>
    <w:p>
      <w:pPr>
        <w:spacing w:line="300" w:lineRule="exact"/>
        <w:ind w:left="630" w:leftChars="200" w:hanging="210" w:hangingChars="100"/>
        <w:rPr>
          <w:rFonts w:ascii="仿宋_GB2312" w:eastAsia="仿宋_GB2312"/>
          <w:szCs w:val="21"/>
          <w:shd w:val="clear" w:color="auto" w:fill="FFFFFF"/>
        </w:rPr>
      </w:pPr>
      <w:r>
        <w:rPr>
          <w:rFonts w:ascii="仿宋_GB2312" w:eastAsia="仿宋_GB2312"/>
          <w:szCs w:val="21"/>
          <w:shd w:val="clear" w:color="auto" w:fill="FFFFFF"/>
        </w:rPr>
        <w:t>3.</w:t>
      </w:r>
      <w:r>
        <w:rPr>
          <w:rFonts w:hint="eastAsia" w:ascii="仿宋_GB2312" w:eastAsia="仿宋_GB2312"/>
          <w:szCs w:val="21"/>
          <w:shd w:val="clear" w:color="auto" w:fill="FFFFFF"/>
        </w:rPr>
        <w:t>以“XXXX规范”为名称的标准，内容应包括要求和证实方法等必备要素；以“XXXX规程”为名称的标准，内容</w:t>
      </w:r>
      <w:r>
        <w:rPr>
          <w:rFonts w:hint="eastAsia" w:ascii="仿宋_GB2312" w:eastAsia="仿宋_GB2312"/>
          <w:szCs w:val="21"/>
          <w:shd w:val="clear" w:color="auto" w:fill="FFFFFF"/>
          <w:lang w:val="en-US" w:eastAsia="zh-CN"/>
        </w:rPr>
        <w:t>应</w:t>
      </w:r>
      <w:r>
        <w:rPr>
          <w:rFonts w:hint="eastAsia" w:ascii="仿宋_GB2312" w:eastAsia="仿宋_GB2312"/>
          <w:szCs w:val="21"/>
          <w:shd w:val="clear" w:color="auto" w:fill="FFFFFF"/>
        </w:rPr>
        <w:t>包括要求、程序（步骤）、追溯/证实方法等必备要素；以“XXXX指南”为名称的标准，内容为普遍性、原则性、方向性指导，一般不涉及具体的原理、条件和步</w:t>
      </w:r>
      <w:r>
        <w:rPr>
          <w:rFonts w:ascii="仿宋_GB2312" w:eastAsia="仿宋_GB2312"/>
          <w:szCs w:val="21"/>
          <w:shd w:val="clear" w:color="auto" w:fill="FFFFFF"/>
        </w:rPr>
        <w:t>骤，也不应规定要求、描述证实方法。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formProt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sWargBAABUAwAADgAAAGRycy9lMm9Eb2MueG1srVPBThsxEL1X4h8s&#10;35tdIkDpKg6iQqBKVUECPsDx2llLtseynezmB+gf9MSl935XvoOxkw0VvVVcvDOe8Zv3Zmbnl4M1&#10;ZCND1OAYPZ3UlEgnoNVuxejT483nGSUxcddyA04yupWRXi5OPs1738gpdGBaGQiCuNj0ntEuJd9U&#10;VRSdtDxOwEuHQQXB8oRuWFVt4D2iW1NN6/qi6iG0PoCQMeLt9T5IFwVfKSnSnVJRJmIYRW6pnKGc&#10;y3xWizlvVoH7TosDDf4fLCzXDoseoa554mQd9D9QVosAEVSaCLAVKKWFLBpQzWn9Ts1Dx70sWrA5&#10;0R/bFD8OVvzY3AeiW0bPKHHc4oh2v37uXv7sfj+Ts9ye3scGsx485qXhKww45vE+4mVWPahg8xf1&#10;EIxjo7fH5sohEZEfzaazWY0hgbHRQfzq7bkPMd1KsCQbjAacXmkq33yPaZ86puRqDm60MWWCxpGe&#10;0S/n0/Py4BhBcOOwRhaxJ5utNCyHg7IltFsU1uMGMOpwRSkx3xw2OC/LaITRWI7G2ge96so2ZSbR&#10;X60Tsikkc4U97KEwjq7IPKxZ3o2//ZL19jMsX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dEsWargBAABU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11B4F"/>
    <w:multiLevelType w:val="multilevel"/>
    <w:tmpl w:val="36411B4F"/>
    <w:lvl w:ilvl="0" w:tentative="0">
      <w:start w:val="3"/>
      <w:numFmt w:val="chineseCounting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82937"/>
    <w:rsid w:val="08822AD8"/>
    <w:rsid w:val="0AE44C2F"/>
    <w:rsid w:val="0B8279C6"/>
    <w:rsid w:val="161868C4"/>
    <w:rsid w:val="3AA36919"/>
    <w:rsid w:val="659D7D6C"/>
    <w:rsid w:val="66EB34B9"/>
    <w:rsid w:val="68CE6D7F"/>
    <w:rsid w:val="6DDB6CA0"/>
    <w:rsid w:val="7EBE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科技处-LR</cp:lastModifiedBy>
  <dcterms:modified xsi:type="dcterms:W3CDTF">2021-02-19T09:08:27Z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