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山东省企业管理标杆企业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6"/>
          <w:szCs w:val="56"/>
          <w:lang w:val="en-US" w:eastAsia="zh-CN"/>
        </w:rPr>
        <w:t>书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6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申报单位：</w:t>
            </w:r>
          </w:p>
        </w:tc>
        <w:tc>
          <w:tcPr>
            <w:tcW w:w="660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盖章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企业规模</w:t>
            </w:r>
          </w:p>
        </w:tc>
        <w:tc>
          <w:tcPr>
            <w:tcW w:w="660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大型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中型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小型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行业领域</w:t>
            </w:r>
          </w:p>
        </w:tc>
        <w:tc>
          <w:tcPr>
            <w:tcW w:w="660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推荐单位：</w:t>
            </w:r>
          </w:p>
        </w:tc>
        <w:tc>
          <w:tcPr>
            <w:tcW w:w="66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盖章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申报时间：</w:t>
            </w:r>
          </w:p>
        </w:tc>
        <w:tc>
          <w:tcPr>
            <w:tcW w:w="66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一、申报材料真实性、完整性承诺书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二、“山东省企业管理标杆企业”申请表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“山东省企业管理标杆企业”申请报告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  <w:t>四、其他证明材料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申报材料真实性、完整性承诺书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我单位提交的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“山东省企业管理标杆企业”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申报材料内容真实、有效、完整，如有不实之处，愿负相应法律责任，并承担由此产生的一切后果。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单位名称（盖章）：          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单位法定代表人签字（签章）：          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****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年**月**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山东省企业管理标杆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企业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申请表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基本信息</w:t>
      </w:r>
    </w:p>
    <w:tbl>
      <w:tblPr>
        <w:tblStyle w:val="4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2908"/>
        <w:gridCol w:w="1356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7009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企业类型</w:t>
            </w:r>
          </w:p>
        </w:tc>
        <w:tc>
          <w:tcPr>
            <w:tcW w:w="7009" w:type="dxa"/>
            <w:gridSpan w:val="3"/>
            <w:noWrap w:val="0"/>
            <w:vAlign w:val="center"/>
          </w:tcPr>
          <w:p>
            <w:pPr>
              <w:ind w:firstLine="1440" w:firstLineChars="6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国有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民营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外资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企业主导产品及经营项目</w:t>
            </w:r>
          </w:p>
        </w:tc>
        <w:tc>
          <w:tcPr>
            <w:tcW w:w="7009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负责人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办公电话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电子邮件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009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企业简介</w:t>
            </w:r>
          </w:p>
        </w:tc>
        <w:tc>
          <w:tcPr>
            <w:tcW w:w="7009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（不超过300字）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指标情况</w:t>
      </w:r>
      <w:bookmarkStart w:id="0" w:name="_GoBack"/>
      <w:bookmarkEnd w:id="0"/>
    </w:p>
    <w:tbl>
      <w:tblPr>
        <w:tblStyle w:val="4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191"/>
        <w:gridCol w:w="3583"/>
        <w:gridCol w:w="3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一级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二级</w:t>
            </w: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三级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具体情况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党建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思想建设</w:t>
            </w: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企业内党员严格遵守党章和党内政治生活准则，严格遵守政治纪律和政治规矩，近三年未发生违法乱纪事件。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组织生活</w:t>
            </w: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有固定的党建活动场所和宣传场景。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党内激励、关怀、帮扶机制健全，已建立困难党员动态台账，经常性开展关怀帮扶活动。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党建成效</w:t>
            </w: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在市级（含）以上新闻媒体宣传报道企业党建工作绩效和特色亮点。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形成特色鲜明的党建创新理论实践成果并在市级以上正式刊物刊发。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t>国家级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省级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市级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领导</w:t>
            </w:r>
          </w:p>
        </w:tc>
        <w:tc>
          <w:tcPr>
            <w:tcW w:w="8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领导能力</w:t>
            </w: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主要领导社会声誉良好，诚实守信，获得重要个人荣誉，如优秀企业家、五一劳动奖章等。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t>国家级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省级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市级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企业领导获得企业管理领域创新成果。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t>国家级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省级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市级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企业文化</w:t>
            </w: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建立企业文化管理体系（VI、CI），建立企业文化宣传手册。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已通过主流媒体宣传或取得企业文化优秀成果。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t>国家级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省级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市级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劳动关系</w:t>
            </w: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劳动关系和谐，按规定与职工签订劳动合同，有缴纳补充劳动保险和企业年金的规划。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按规定及时全面缴纳社会保险。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建立工资集体协商制度。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建立女职工特殊劳动保护制度。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社会责任</w:t>
            </w: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明确高层管理人员负责企业社会责任相关事务，获得履行社会责任企业相关荣誉。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定期发布企业社会责任报告或ESG报告。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积极主动参加慈善等社会公益活动。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建立组织的信用和合规体系，具有第三方的企业信用评价证书或合规体系认证。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战略</w:t>
            </w:r>
          </w:p>
        </w:tc>
        <w:tc>
          <w:tcPr>
            <w:tcW w:w="8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数字化战略</w:t>
            </w: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获得数字化转型相关荣誉或资质。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t>国家级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省级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市级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顾客关系与品牌</w:t>
            </w:r>
          </w:p>
        </w:tc>
        <w:tc>
          <w:tcPr>
            <w:tcW w:w="8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顾客满意</w:t>
            </w: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顾客关系达到忠诚度水平，用户满意度得分90分以上。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用户满意度得分：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获得用户满意、市场质量信用等级相关荣誉。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t>国家级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省级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市级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品牌地位</w:t>
            </w: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入选权威机构发布的品牌价值榜单，品牌价值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品牌价值：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拥有一个以上驰名商标或名牌产品。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列入“好品山东”、“高端品牌培育企业”或“山东制造·齐鲁精品”等优质品牌。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资源建设</w:t>
            </w:r>
          </w:p>
        </w:tc>
        <w:tc>
          <w:tcPr>
            <w:tcW w:w="8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人力资源</w:t>
            </w: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建立高层次人才基地，如院士专家工作站、博士后工作站或工匠工作室等。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1"/>
                <w:szCs w:val="21"/>
                <w:lang w:val="en-US" w:eastAsia="zh-CN" w:bidi="ar"/>
              </w:rPr>
              <w:t xml:space="preserve">是  </w:t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获得人才相关荣誉称号，如泰山产业领军人才等。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t>国家级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省级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市级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财务资源</w:t>
            </w: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资产负债率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总资产周转率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上市情况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 xml:space="preserve">是，上市板块：    </w:t>
            </w:r>
            <w:r>
              <w:rPr>
                <w:rStyle w:val="11"/>
                <w:rFonts w:hint="eastAsia" w:hAnsi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sz w:val="18"/>
                <w:szCs w:val="18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sz w:val="18"/>
                <w:szCs w:val="18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数据资源</w:t>
            </w: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获得数字经济重点示范相关荣誉。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t>国家级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省级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市级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技术资源</w:t>
            </w: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I类高价值知识产权数量。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制/修定国际、国家、行业、地方和团体标准总数。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建有企业技术中心、工业设计中心等研发机构。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t>国家级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省级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市级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获得科技领域相关荣誉，如科技进步奖等同级荣誉。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t>国家级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省级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市级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设备资源</w:t>
            </w: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智能化设备比率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设备技术水平高，具有先进性，获得如首台套或首版次等荣誉。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t>国家级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省级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市级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价值创造过程</w:t>
            </w:r>
          </w:p>
        </w:tc>
        <w:tc>
          <w:tcPr>
            <w:tcW w:w="8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研发管理</w:t>
            </w: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研发强度。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质量管理</w:t>
            </w: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重视基层质量管理，获得群众性质量管理领域奖项，如质量信得过班组或QC小组成果等。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t>国家级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省级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市级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重视全面质量管理，获得全面质量管理领域奖项，如中国质量奖或质量标杆等。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t>国家级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省级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市级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管理成效</w:t>
            </w:r>
          </w:p>
        </w:tc>
        <w:tc>
          <w:tcPr>
            <w:tcW w:w="8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经济效益</w:t>
            </w: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近两年营业收入平均增长率。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近两年净利润平均增长率。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市场地位</w:t>
            </w: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市场占有率。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百强排名。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绿色效益</w:t>
            </w: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获得环境保护、绿色发展相关荣誉，例如环保部门“环境保护友好企业”称号或“绿色工厂”称号等。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20"/>
                <w:szCs w:val="20"/>
                <w:lang w:val="en-US" w:eastAsia="zh-CN" w:bidi="ar"/>
              </w:rPr>
              <w:t>国家级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省级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市级</w:t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20"/>
                <w:szCs w:val="20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rFonts w:hAnsi="宋体"/>
                <w:lang w:val="en-US" w:eastAsia="zh-CN" w:bidi="ar"/>
              </w:rPr>
              <w:t>能源、原材料利用率高，资源综合利用、发展循环经济、节能减排等方面达到先进水平。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int="eastAsia" w:hAnsi="宋体"/>
                <w:i w:val="0"/>
                <w:iCs w:val="0"/>
                <w:color w:val="000000"/>
                <w:sz w:val="18"/>
                <w:szCs w:val="18"/>
                <w:lang w:val="en-US" w:eastAsia="zh-CN" w:bidi="ar"/>
              </w:rPr>
              <w:t>国际领先</w:t>
            </w:r>
            <w:r>
              <w:rPr>
                <w:rStyle w:val="11"/>
                <w:rFonts w:hAnsi="宋体"/>
                <w:sz w:val="18"/>
                <w:szCs w:val="18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18"/>
                <w:szCs w:val="18"/>
                <w:lang w:val="en-US" w:eastAsia="zh-CN" w:bidi="ar"/>
              </w:rPr>
              <w:t>国内领先</w:t>
            </w:r>
            <w:r>
              <w:rPr>
                <w:rStyle w:val="11"/>
                <w:rFonts w:hAnsi="宋体"/>
                <w:sz w:val="18"/>
                <w:szCs w:val="18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18"/>
                <w:szCs w:val="18"/>
                <w:lang w:val="en-US" w:eastAsia="zh-CN" w:bidi="ar"/>
              </w:rPr>
              <w:t>省内领先</w:t>
            </w:r>
            <w:r>
              <w:rPr>
                <w:rStyle w:val="11"/>
                <w:rFonts w:hAnsi="宋体"/>
                <w:sz w:val="18"/>
                <w:szCs w:val="18"/>
                <w:lang w:val="en-US" w:eastAsia="zh-CN" w:bidi="ar"/>
              </w:rPr>
              <w:sym w:font="Wingdings 2" w:char="00A3"/>
            </w:r>
            <w:r>
              <w:rPr>
                <w:rStyle w:val="11"/>
                <w:rFonts w:hAnsi="宋体"/>
                <w:sz w:val="18"/>
                <w:szCs w:val="18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山东省企业管理标杆企业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>编写提纲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报告编写说明：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1.编写内容必须包括以下八大部分，每部分内容包括但不限于列出的内容，具体可参加指标体系列出内容。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both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2.每条阐述涉及到的证明材料直接附于文字描述之下，采用图文结合的形式编写报告。如各类获奖证书、获奖文件、资质证明等。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（一）党建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从思想建设、组织体系、组织生活、党建成效等方面阐述企业党建管理开展现状。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（二）领导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从法人治理结构、领导能力、企业文化、劳动关系、企业社会责任等方面阐述企业的领导管理情况。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（三）战略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从企业的总体战略、数字化战略和业务职能战略等方面介绍企业战略管理现状。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（四）顾客关系与品牌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从市场关系与顾客满意度、品牌建设、品牌地位等方面阐述企业顾客关系与品牌管理现状。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（五）资源建设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从人力资源、财务资源、数据资源、技术资源、设备资源等方面阐述企业资源建设情况。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（六）价值创造过程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从采购管理、生产（或服务）管理、营销管理、研发管理、质量管理、精益管理、风险管理等方面阐述企业在价值创造过程中的管理现状。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（七）全面绩效管理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从绩效测量、绩效应用、持续改进等方面对企业的全面绩效管理进行阐述。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（八）管理成效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从企业的经济效益、市场地位、绿色效益等方面阐述企业的管理成效。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其他证明材料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（一）企业营业执照*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（二）“信用中国”查询报告*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（三）近三年审计报告及财务报表*</w:t>
      </w:r>
    </w:p>
    <w:p>
      <w:pPr>
        <w:pStyle w:val="9"/>
        <w:keepNext w:val="0"/>
        <w:keepLines w:val="0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）近三年完税证明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60B644"/>
    <w:multiLevelType w:val="singleLevel"/>
    <w:tmpl w:val="1460B64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4C50F90"/>
    <w:multiLevelType w:val="multilevel"/>
    <w:tmpl w:val="44C50F90"/>
    <w:lvl w:ilvl="0" w:tentative="0">
      <w:start w:val="1"/>
      <w:numFmt w:val="lowerLetter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decimal"/>
      <w:pStyle w:val="9"/>
      <w:lvlText w:val="%2)"/>
      <w:lvlJc w:val="left"/>
      <w:pPr>
        <w:tabs>
          <w:tab w:val="left" w:pos="1276"/>
        </w:tabs>
        <w:ind w:left="1276" w:hanging="425"/>
      </w:pPr>
      <w:rPr>
        <w:rFonts w:hint="eastAsia" w:ascii="宋体" w:hAnsi="Times New Roman" w:eastAsia="宋体"/>
        <w:sz w:val="21"/>
      </w:rPr>
    </w:lvl>
    <w:lvl w:ilvl="2" w:tentative="0">
      <w:start w:val="1"/>
      <w:numFmt w:val="decimal"/>
      <w:lvlText w:val="(%3)"/>
      <w:lvlJc w:val="left"/>
      <w:pPr>
        <w:ind w:left="1701" w:hanging="425"/>
      </w:pPr>
      <w:rPr>
        <w:rFonts w:hint="eastAsia" w:ascii="宋体" w:hAnsi="Times New Roman" w:eastAsia="宋体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MDBmZTBjNDRiN2E5NDU1ZjdhMWNmODVlOTk4MTMifQ=="/>
  </w:docVars>
  <w:rsids>
    <w:rsidRoot w:val="00000000"/>
    <w:rsid w:val="04440DE2"/>
    <w:rsid w:val="052D0556"/>
    <w:rsid w:val="054628BC"/>
    <w:rsid w:val="064918B1"/>
    <w:rsid w:val="079F583C"/>
    <w:rsid w:val="0BF30F21"/>
    <w:rsid w:val="0CF216F7"/>
    <w:rsid w:val="0E056E59"/>
    <w:rsid w:val="0FCC75A9"/>
    <w:rsid w:val="0FF7237E"/>
    <w:rsid w:val="10962605"/>
    <w:rsid w:val="11687282"/>
    <w:rsid w:val="174C2535"/>
    <w:rsid w:val="1D2D4B03"/>
    <w:rsid w:val="223E3A37"/>
    <w:rsid w:val="23C13E34"/>
    <w:rsid w:val="27BE27B4"/>
    <w:rsid w:val="27BE671F"/>
    <w:rsid w:val="2AF27916"/>
    <w:rsid w:val="2BA5214F"/>
    <w:rsid w:val="2F924066"/>
    <w:rsid w:val="353E0C6B"/>
    <w:rsid w:val="36EC25FE"/>
    <w:rsid w:val="37C91833"/>
    <w:rsid w:val="381B0A8E"/>
    <w:rsid w:val="39D709A6"/>
    <w:rsid w:val="3CAC1420"/>
    <w:rsid w:val="3E225353"/>
    <w:rsid w:val="3FDA0DE9"/>
    <w:rsid w:val="42002ACA"/>
    <w:rsid w:val="428335DA"/>
    <w:rsid w:val="42A45F65"/>
    <w:rsid w:val="42E11318"/>
    <w:rsid w:val="441322F5"/>
    <w:rsid w:val="447F5EC2"/>
    <w:rsid w:val="45911B62"/>
    <w:rsid w:val="4651318A"/>
    <w:rsid w:val="47AE4B3C"/>
    <w:rsid w:val="4C9F5E0F"/>
    <w:rsid w:val="4DE63984"/>
    <w:rsid w:val="4F782AAF"/>
    <w:rsid w:val="4FDB1A1A"/>
    <w:rsid w:val="503E4E84"/>
    <w:rsid w:val="52097E35"/>
    <w:rsid w:val="52126FB2"/>
    <w:rsid w:val="521758BB"/>
    <w:rsid w:val="52522DD8"/>
    <w:rsid w:val="558B2B3B"/>
    <w:rsid w:val="55EA65F0"/>
    <w:rsid w:val="57152D49"/>
    <w:rsid w:val="57E510B2"/>
    <w:rsid w:val="5C2E3A9A"/>
    <w:rsid w:val="5EB07458"/>
    <w:rsid w:val="601C0EE6"/>
    <w:rsid w:val="605A7A28"/>
    <w:rsid w:val="61435264"/>
    <w:rsid w:val="61B378EC"/>
    <w:rsid w:val="621E21E8"/>
    <w:rsid w:val="62A84E5B"/>
    <w:rsid w:val="63D27965"/>
    <w:rsid w:val="646E7703"/>
    <w:rsid w:val="64BE5971"/>
    <w:rsid w:val="67790E2F"/>
    <w:rsid w:val="6A517E9E"/>
    <w:rsid w:val="6AFF7008"/>
    <w:rsid w:val="6CEA024B"/>
    <w:rsid w:val="72916C3D"/>
    <w:rsid w:val="733A1C47"/>
    <w:rsid w:val="73E56099"/>
    <w:rsid w:val="74B53ED7"/>
    <w:rsid w:val="75356081"/>
    <w:rsid w:val="781B6E27"/>
    <w:rsid w:val="7A183FE6"/>
    <w:rsid w:val="7B1D40A2"/>
    <w:rsid w:val="7F07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1"/>
    <w:basedOn w:val="4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网格型2"/>
    <w:basedOn w:val="4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标准文件_数字编号列项（二级）"/>
    <w:qFormat/>
    <w:uiPriority w:val="0"/>
    <w:pPr>
      <w:numPr>
        <w:ilvl w:val="1"/>
        <w:numId w:val="1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0">
    <w:name w:val="font1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1">
    <w:name w:val="font21"/>
    <w:basedOn w:val="6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3971</Words>
  <Characters>4280</Characters>
  <Lines>0</Lines>
  <Paragraphs>0</Paragraphs>
  <TotalTime>34</TotalTime>
  <ScaleCrop>false</ScaleCrop>
  <LinksUpToDate>false</LinksUpToDate>
  <CharactersWithSpaces>4286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2023-05-25T10:39:00Z</dcterms:created>
  <dc:creator>Administrator</dc:creator>
  <cp:lastModifiedBy>一粟</cp:lastModifiedBy>
  <cp:lastPrinted>2023-06-09T02:26:00Z</cp:lastPrinted>
  <dcterms:modified xsi:type="dcterms:W3CDTF">2023-11-03T07:42:30Z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4CFA74AC3BDD4408B37852696632DB5C_12</vt:lpwstr>
  </property>
</Properties>
</file>