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color w:val="333333"/>
          <w:sz w:val="32"/>
          <w:szCs w:val="32"/>
          <w:shd w:val="clear" w:color="auto" w:fill="FFFFFF"/>
          <w:lang w:val="en-US" w:eastAsia="zh-CN"/>
        </w:rPr>
      </w:pPr>
      <w:r>
        <w:rPr>
          <w:rFonts w:hint="eastAsia" w:ascii="仿宋_GB2312" w:hAnsi="仿宋_GB2312" w:eastAsia="仿宋_GB2312" w:cs="仿宋_GB2312"/>
          <w:color w:val="333333"/>
          <w:sz w:val="32"/>
          <w:szCs w:val="32"/>
          <w:shd w:val="clear" w:color="auto" w:fill="FFFFFF"/>
          <w:lang w:val="en-US" w:eastAsia="zh-CN"/>
        </w:rPr>
        <w:t>SDPR-2022-0040002</w:t>
      </w:r>
    </w:p>
    <w:p>
      <w:pPr>
        <w:pStyle w:val="2"/>
        <w:rPr>
          <w:rFonts w:hint="eastAsia"/>
          <w:lang w:val="en-US" w:eastAsia="zh-CN"/>
        </w:rPr>
      </w:pPr>
    </w:p>
    <w:p>
      <w:pPr>
        <w:jc w:val="center"/>
        <w:rPr>
          <w:rFonts w:hint="eastAsia" w:ascii="方正小标宋简体" w:hAnsi="方正小标宋简体" w:eastAsia="方正小标宋简体" w:cs="方正小标宋简体"/>
          <w:color w:val="333333"/>
          <w:sz w:val="44"/>
          <w:szCs w:val="44"/>
          <w:shd w:val="clear" w:color="auto" w:fill="FFFFFF"/>
          <w:lang w:val="en-US" w:eastAsia="zh-CN"/>
        </w:rPr>
      </w:pPr>
      <w:r>
        <w:rPr>
          <w:rFonts w:hint="eastAsia" w:ascii="方正小标宋简体" w:hAnsi="方正小标宋简体" w:eastAsia="方正小标宋简体" w:cs="方正小标宋简体"/>
          <w:color w:val="333333"/>
          <w:sz w:val="44"/>
          <w:szCs w:val="44"/>
          <w:shd w:val="clear" w:color="auto" w:fill="FFFFFF"/>
          <w:lang w:val="en-US" w:eastAsia="zh-CN"/>
        </w:rPr>
        <w:t>山东省工业和信息化厅</w:t>
      </w:r>
    </w:p>
    <w:p>
      <w:pPr>
        <w:pStyle w:val="2"/>
        <w:snapToGrid w:val="0"/>
        <w:spacing w:line="216" w:lineRule="auto"/>
        <w:jc w:val="center"/>
        <w:rPr>
          <w:rFonts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关于印发</w:t>
      </w:r>
      <w:r>
        <w:rPr>
          <w:rFonts w:hint="eastAsia" w:ascii="方正小标宋简体" w:hAnsi="方正小标宋简体" w:eastAsia="方正小标宋简体" w:cs="方正小标宋简体"/>
          <w:color w:val="333333"/>
          <w:sz w:val="44"/>
          <w:szCs w:val="44"/>
          <w:shd w:val="clear" w:color="auto" w:fill="FFFFFF"/>
          <w:lang w:eastAsia="zh-CN"/>
        </w:rPr>
        <w:t>《</w:t>
      </w:r>
      <w:r>
        <w:rPr>
          <w:rFonts w:hint="eastAsia" w:ascii="方正小标宋简体" w:hAnsi="方正小标宋简体" w:eastAsia="方正小标宋简体" w:cs="方正小标宋简体"/>
          <w:color w:val="333333"/>
          <w:sz w:val="44"/>
          <w:szCs w:val="44"/>
          <w:shd w:val="clear" w:color="auto" w:fill="FFFFFF"/>
        </w:rPr>
        <w:t>山东省水泥粉磨产能置换</w:t>
      </w:r>
    </w:p>
    <w:p>
      <w:pPr>
        <w:pStyle w:val="2"/>
        <w:snapToGrid w:val="0"/>
        <w:spacing w:line="216" w:lineRule="auto"/>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实施办法</w:t>
      </w:r>
      <w:r>
        <w:rPr>
          <w:rFonts w:hint="eastAsia" w:ascii="方正小标宋简体" w:hAnsi="方正小标宋简体" w:eastAsia="方正小标宋简体" w:cs="方正小标宋简体"/>
          <w:color w:val="333333"/>
          <w:sz w:val="44"/>
          <w:szCs w:val="44"/>
          <w:shd w:val="clear" w:color="auto" w:fill="FFFFFF"/>
          <w:lang w:eastAsia="zh-CN"/>
        </w:rPr>
        <w:t>》</w:t>
      </w:r>
      <w:r>
        <w:rPr>
          <w:rFonts w:hint="eastAsia" w:ascii="方正小标宋简体" w:hAnsi="方正小标宋简体" w:eastAsia="方正小标宋简体" w:cs="方正小标宋简体"/>
          <w:color w:val="333333"/>
          <w:sz w:val="44"/>
          <w:szCs w:val="44"/>
          <w:shd w:val="clear" w:color="auto" w:fill="FFFFFF"/>
        </w:rPr>
        <w:t>的</w:t>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通知</w:t>
      </w:r>
    </w:p>
    <w:p>
      <w:pPr>
        <w:pStyle w:val="3"/>
        <w:ind w:left="0" w:leftChars="0" w:firstLine="2560" w:firstLineChars="800"/>
        <w:jc w:val="both"/>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color w:val="333333"/>
          <w:sz w:val="32"/>
          <w:szCs w:val="32"/>
          <w:shd w:val="clear" w:color="auto" w:fill="FFFFFF"/>
          <w:lang w:eastAsia="zh-CN"/>
        </w:rPr>
        <w:t>鲁工信原〔</w:t>
      </w:r>
      <w:r>
        <w:rPr>
          <w:rFonts w:hint="eastAsia" w:ascii="楷体_GB2312" w:hAnsi="楷体_GB2312" w:eastAsia="楷体_GB2312" w:cs="楷体_GB2312"/>
          <w:color w:val="333333"/>
          <w:sz w:val="32"/>
          <w:szCs w:val="32"/>
          <w:shd w:val="clear" w:color="auto" w:fill="FFFFFF"/>
          <w:lang w:val="en-US" w:eastAsia="zh-CN"/>
        </w:rPr>
        <w:t>2022</w:t>
      </w:r>
      <w:r>
        <w:rPr>
          <w:rFonts w:hint="eastAsia" w:ascii="楷体_GB2312" w:hAnsi="楷体_GB2312" w:eastAsia="楷体_GB2312" w:cs="楷体_GB2312"/>
          <w:color w:val="333333"/>
          <w:sz w:val="32"/>
          <w:szCs w:val="32"/>
          <w:shd w:val="clear" w:color="auto" w:fill="FFFFFF"/>
          <w:lang w:eastAsia="zh-CN"/>
        </w:rPr>
        <w:t>〕</w:t>
      </w:r>
      <w:r>
        <w:rPr>
          <w:rFonts w:hint="eastAsia" w:ascii="楷体_GB2312" w:hAnsi="楷体_GB2312" w:eastAsia="楷体_GB2312" w:cs="楷体_GB2312"/>
          <w:color w:val="333333"/>
          <w:sz w:val="32"/>
          <w:szCs w:val="32"/>
          <w:shd w:val="clear" w:color="auto" w:fill="FFFFFF"/>
          <w:lang w:val="en-US" w:eastAsia="zh-CN"/>
        </w:rPr>
        <w:t>53号</w:t>
      </w:r>
    </w:p>
    <w:p>
      <w:pPr>
        <w:pStyle w:val="3"/>
        <w:spacing w:line="600" w:lineRule="exact"/>
        <w:ind w:left="0" w:leftChars="0" w:firstLine="0" w:firstLineChars="0"/>
        <w:jc w:val="left"/>
        <w:rPr>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各市工业和信息化局：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eastAsia="zh-CN"/>
          <w14:textFill>
            <w14:solidFill>
              <w14:schemeClr w14:val="tx1"/>
            </w14:solidFill>
          </w14:textFill>
        </w:rPr>
        <w:t>为认真贯彻落实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山东省人民政府办公厅关于印发坚决遏制“两高”项目盲目发展的若干措施的通知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（鲁政办字〔2021〕98号）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省新旧动能转换综合试验区建设领导小组</w:t>
      </w:r>
      <w:r>
        <w:rPr>
          <w:rFonts w:hint="eastAsia" w:ascii="仿宋_GB2312" w:hAnsi="仿宋_GB2312" w:eastAsia="仿宋_GB2312" w:cs="仿宋_GB2312"/>
          <w:color w:val="000000" w:themeColor="text1"/>
          <w:sz w:val="32"/>
          <w:szCs w:val="32"/>
          <w14:textFill>
            <w14:solidFill>
              <w14:schemeClr w14:val="tx1"/>
            </w14:solidFill>
          </w14:textFill>
        </w:rPr>
        <w:t>《全省落实“三个坚决”行动方案（2021-2022年）》（鲁动能〔2021〕3号）等文件精神，</w:t>
      </w:r>
      <w:r>
        <w:rPr>
          <w:rFonts w:hint="eastAsia" w:ascii="仿宋_GB2312" w:hAnsi="仿宋_GB2312" w:eastAsia="仿宋_GB2312" w:cs="仿宋_GB2312"/>
          <w:color w:val="000000" w:themeColor="text1"/>
          <w:sz w:val="32"/>
          <w:szCs w:val="32"/>
          <w:lang w:eastAsia="zh-CN"/>
          <w14:textFill>
            <w14:solidFill>
              <w14:schemeClr w14:val="tx1"/>
            </w14:solidFill>
          </w14:textFill>
        </w:rPr>
        <w:t>我们研究制定了</w:t>
      </w:r>
      <w:r>
        <w:rPr>
          <w:rFonts w:hint="eastAsia" w:ascii="仿宋_GB2312" w:hAnsi="仿宋_GB2312" w:eastAsia="仿宋_GB2312" w:cs="仿宋_GB2312"/>
          <w:color w:val="000000" w:themeColor="text1"/>
          <w:sz w:val="32"/>
          <w:szCs w:val="32"/>
          <w14:textFill>
            <w14:solidFill>
              <w14:schemeClr w14:val="tx1"/>
            </w14:solidFill>
          </w14:textFill>
        </w:rPr>
        <w:t>《山东省水泥粉磨产能置换实施办法》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，现</w:t>
      </w:r>
      <w:r>
        <w:rPr>
          <w:rFonts w:hint="eastAsia" w:ascii="仿宋_GB2312" w:hAnsi="仿宋_GB2312" w:eastAsia="仿宋_GB2312" w:cs="仿宋_GB2312"/>
          <w:color w:val="000000" w:themeColor="text1"/>
          <w:sz w:val="32"/>
          <w:szCs w:val="32"/>
          <w14:textFill>
            <w14:solidFill>
              <w14:schemeClr w14:val="tx1"/>
            </w14:solidFill>
          </w14:textFill>
        </w:rPr>
        <w:t>印发</w:t>
      </w:r>
      <w:r>
        <w:rPr>
          <w:rFonts w:hint="eastAsia" w:ascii="仿宋_GB2312" w:hAnsi="仿宋_GB2312" w:eastAsia="仿宋_GB2312" w:cs="仿宋_GB2312"/>
          <w:color w:val="000000" w:themeColor="text1"/>
          <w:sz w:val="32"/>
          <w:szCs w:val="32"/>
          <w:lang w:eastAsia="zh-CN"/>
          <w14:textFill>
            <w14:solidFill>
              <w14:schemeClr w14:val="tx1"/>
            </w14:solidFill>
          </w14:textFill>
        </w:rPr>
        <w:t>给</w:t>
      </w:r>
      <w:r>
        <w:rPr>
          <w:rFonts w:hint="eastAsia" w:ascii="仿宋_GB2312" w:hAnsi="仿宋_GB2312" w:eastAsia="仿宋_GB2312" w:cs="仿宋_GB2312"/>
          <w:color w:val="000000" w:themeColor="text1"/>
          <w:sz w:val="32"/>
          <w:szCs w:val="32"/>
          <w14:textFill>
            <w14:solidFill>
              <w14:schemeClr w14:val="tx1"/>
            </w14:solidFill>
          </w14:textFill>
        </w:rPr>
        <w:t>你们，</w:t>
      </w:r>
      <w:r>
        <w:rPr>
          <w:rFonts w:hint="eastAsia" w:ascii="仿宋_GB2312" w:hAnsi="仿宋_GB2312" w:eastAsia="仿宋_GB2312" w:cs="仿宋_GB2312"/>
          <w:color w:val="000000" w:themeColor="text1"/>
          <w:sz w:val="32"/>
          <w:szCs w:val="32"/>
          <w:lang w:eastAsia="zh-CN"/>
          <w14:textFill>
            <w14:solidFill>
              <w14:schemeClr w14:val="tx1"/>
            </w14:solidFill>
          </w14:textFill>
        </w:rPr>
        <w:t>请认真遵照执行</w:t>
      </w:r>
      <w:r>
        <w:rPr>
          <w:rFonts w:hint="eastAsia" w:ascii="仿宋_GB2312" w:hAnsi="仿宋_GB2312" w:eastAsia="仿宋_GB2312" w:cs="仿宋_GB2312"/>
          <w:color w:val="000000" w:themeColor="text1"/>
          <w:sz w:val="32"/>
          <w:szCs w:val="32"/>
          <w14:textFill>
            <w14:solidFill>
              <w14:schemeClr w14:val="tx1"/>
            </w14:solidFill>
          </w14:textFill>
        </w:rPr>
        <w:t>。</w:t>
      </w:r>
    </w:p>
    <w:p>
      <w:pPr>
        <w:pStyle w:val="2"/>
        <w:spacing w:line="600" w:lineRule="exact"/>
        <w:rPr>
          <w:rFonts w:eastAsia="仿宋_GB2312"/>
          <w:color w:val="000000" w:themeColor="text1"/>
          <w:sz w:val="32"/>
          <w:szCs w:val="32"/>
          <w14:textFill>
            <w14:solidFill>
              <w14:schemeClr w14:val="tx1"/>
            </w14:solidFill>
          </w14:textFill>
        </w:rPr>
      </w:pPr>
    </w:p>
    <w:p>
      <w:pPr>
        <w:spacing w:line="600" w:lineRule="exact"/>
        <w:ind w:firstLine="640" w:firstLineChars="200"/>
        <w:jc w:val="center"/>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山东省工业和信息化厅</w:t>
      </w:r>
    </w:p>
    <w:p>
      <w:pPr>
        <w:pStyle w:val="2"/>
        <w:spacing w:line="60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2022年3月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29</w:t>
      </w:r>
      <w:r>
        <w:rPr>
          <w:rFonts w:hint="eastAsia" w:ascii="仿宋_GB2312" w:hAnsi="仿宋_GB2312" w:eastAsia="仿宋_GB2312" w:cs="仿宋_GB2312"/>
          <w:color w:val="000000" w:themeColor="text1"/>
          <w:sz w:val="32"/>
          <w:szCs w:val="32"/>
          <w14:textFill>
            <w14:solidFill>
              <w14:schemeClr w14:val="tx1"/>
            </w14:solidFill>
          </w14:textFill>
        </w:rPr>
        <w:t>日</w:t>
      </w:r>
    </w:p>
    <w:p>
      <w:pPr>
        <w:pStyle w:val="3"/>
        <w:ind w:left="0" w:leftChars="0" w:firstLine="640" w:firstLineChars="200"/>
        <w:rPr>
          <w:rFonts w:hint="eastAsia" w:eastAsia="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（此件主动公开）</w:t>
      </w:r>
    </w:p>
    <w:p>
      <w:pPr>
        <w:pStyle w:val="2"/>
      </w:pPr>
    </w:p>
    <w:p>
      <w:pPr>
        <w:rPr>
          <w:rFonts w:ascii="仿宋_GB2312" w:hAnsi="仿宋_GB2312" w:eastAsia="仿宋_GB2312" w:cs="仿宋_GB2312"/>
          <w:sz w:val="32"/>
          <w:szCs w:val="32"/>
        </w:rPr>
      </w:pPr>
    </w:p>
    <w:p/>
    <w:p>
      <w:pPr>
        <w:spacing w:line="600" w:lineRule="exact"/>
        <w:jc w:val="center"/>
        <w:rPr>
          <w:rFonts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山东省水泥粉磨产能置换实施办法</w:t>
      </w:r>
    </w:p>
    <w:p>
      <w:pPr>
        <w:spacing w:line="600" w:lineRule="exact"/>
        <w:ind w:firstLine="640" w:firstLineChars="200"/>
        <w:rPr>
          <w:rStyle w:val="11"/>
          <w:rFonts w:ascii="黑体" w:hAnsi="黑体" w:eastAsia="黑体" w:cs="黑体"/>
          <w:b w:val="0"/>
          <w:bCs/>
          <w:sz w:val="32"/>
          <w:szCs w:val="32"/>
        </w:rPr>
      </w:pPr>
    </w:p>
    <w:p>
      <w:pPr>
        <w:spacing w:line="600" w:lineRule="exact"/>
        <w:ind w:firstLine="640" w:firstLineChars="200"/>
        <w:rPr>
          <w:rFonts w:ascii="仿宋_GB2312" w:hAnsi="仿宋_GB2312" w:eastAsia="仿宋_GB2312" w:cs="仿宋_GB2312"/>
          <w:sz w:val="32"/>
          <w:szCs w:val="32"/>
        </w:rPr>
      </w:pPr>
      <w:r>
        <w:rPr>
          <w:rStyle w:val="11"/>
          <w:rFonts w:hint="eastAsia" w:ascii="黑体" w:hAnsi="黑体" w:eastAsia="黑体" w:cs="黑体"/>
          <w:b w:val="0"/>
          <w:bCs/>
          <w:sz w:val="32"/>
          <w:szCs w:val="32"/>
        </w:rPr>
        <w:t xml:space="preserve">第一条 </w:t>
      </w:r>
      <w:r>
        <w:rPr>
          <w:rFonts w:hint="eastAsia" w:ascii="仿宋_GB2312" w:hAnsi="仿宋_GB2312" w:eastAsia="仿宋_GB2312" w:cs="仿宋_GB2312"/>
          <w:color w:val="000000" w:themeColor="text1"/>
          <w:sz w:val="32"/>
          <w:szCs w:val="32"/>
          <w14:textFill>
            <w14:solidFill>
              <w14:schemeClr w14:val="tx1"/>
            </w14:solidFill>
          </w14:textFill>
        </w:rPr>
        <w:t>为推动传统产业改造升级，严控“两高”项目建设，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加快水泥落后产能退出，</w:t>
      </w:r>
      <w:r>
        <w:rPr>
          <w:rFonts w:hint="eastAsia" w:ascii="仿宋_GB2312" w:hAnsi="仿宋_GB2312" w:eastAsia="仿宋_GB2312" w:cs="仿宋_GB2312"/>
          <w:color w:val="000000" w:themeColor="text1"/>
          <w:sz w:val="32"/>
          <w:szCs w:val="32"/>
          <w14:textFill>
            <w14:solidFill>
              <w14:schemeClr w14:val="tx1"/>
            </w14:solidFill>
          </w14:textFill>
        </w:rPr>
        <w:t>促进行业绿色低碳高质</w:t>
      </w:r>
      <w:r>
        <w:rPr>
          <w:rFonts w:hint="eastAsia" w:ascii="仿宋_GB2312" w:hAnsi="仿宋_GB2312" w:eastAsia="仿宋_GB2312" w:cs="仿宋_GB2312"/>
          <w:sz w:val="32"/>
          <w:szCs w:val="32"/>
        </w:rPr>
        <w:t>量发展，</w:t>
      </w:r>
      <w:r>
        <w:rPr>
          <w:rFonts w:hint="eastAsia" w:ascii="仿宋_GB2312" w:hAnsi="仿宋_GB2312" w:eastAsia="仿宋_GB2312" w:cs="仿宋_GB2312"/>
          <w:color w:val="000000" w:themeColor="text1"/>
          <w:sz w:val="32"/>
          <w:szCs w:val="32"/>
          <w14:textFill>
            <w14:solidFill>
              <w14:schemeClr w14:val="tx1"/>
            </w14:solidFill>
          </w14:textFill>
        </w:rPr>
        <w:t>根据《国务院关于化解产能严重过剩矛盾的指导意见》（国发〔2013〕41号）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《国务院办公厅关于促进建材工业稳增长调结构增效益的指导意见》（国办发〔2016〕34号）、《</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山东省人民政府办公厅</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关于印发</w:t>
      </w:r>
      <w:r>
        <w:rPr>
          <w:rFonts w:hint="eastAsia" w:ascii="仿宋_GB2312" w:hAnsi="仿宋_GB2312" w:eastAsia="仿宋_GB2312" w:cs="仿宋_GB2312"/>
          <w:color w:val="000000" w:themeColor="text1"/>
          <w:sz w:val="32"/>
          <w:szCs w:val="32"/>
          <w14:textFill>
            <w14:solidFill>
              <w14:schemeClr w14:val="tx1"/>
            </w14:solidFill>
          </w14:textFill>
        </w:rPr>
        <w:t>坚决遏制“两高”项目盲目发展的若干措施</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14:textFill>
            <w14:solidFill>
              <w14:schemeClr w14:val="tx1"/>
            </w14:solidFill>
          </w14:textFill>
        </w:rPr>
        <w:t>》（鲁政办字〔2021〕98号）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省新旧动能转换综合试验区建设领导小组</w:t>
      </w:r>
      <w:r>
        <w:rPr>
          <w:rFonts w:hint="eastAsia" w:ascii="仿宋_GB2312" w:hAnsi="仿宋_GB2312" w:eastAsia="仿宋_GB2312" w:cs="仿宋_GB2312"/>
          <w:color w:val="000000" w:themeColor="text1"/>
          <w:sz w:val="32"/>
          <w:szCs w:val="32"/>
          <w14:textFill>
            <w14:solidFill>
              <w14:schemeClr w14:val="tx1"/>
            </w14:solidFill>
          </w14:textFill>
        </w:rPr>
        <w:t>《全省落实“三个坚决”行动方案（2021-2022年）》（鲁动能〔2021〕3号）等文件精神，参照工业和信息化部《水泥玻璃行业产能置换实施办法》（工信部原〔2021〕80号），</w:t>
      </w:r>
      <w:r>
        <w:rPr>
          <w:rFonts w:hint="eastAsia" w:ascii="仿宋_GB2312" w:hAnsi="仿宋_GB2312" w:eastAsia="仿宋_GB2312" w:cs="仿宋_GB2312"/>
          <w:sz w:val="32"/>
          <w:szCs w:val="32"/>
        </w:rPr>
        <w:t>制定本</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办法。</w:t>
      </w:r>
    </w:p>
    <w:p>
      <w:pPr>
        <w:spacing w:line="600" w:lineRule="exact"/>
        <w:ind w:firstLine="640" w:firstLineChars="200"/>
        <w:rPr>
          <w:rFonts w:ascii="仿宋_GB2312" w:hAnsi="仿宋_GB2312" w:eastAsia="仿宋_GB2312" w:cs="仿宋_GB2312"/>
          <w:sz w:val="32"/>
          <w:szCs w:val="32"/>
        </w:rPr>
      </w:pPr>
      <w:r>
        <w:rPr>
          <w:rStyle w:val="11"/>
          <w:rFonts w:hint="eastAsia" w:ascii="黑体" w:hAnsi="黑体" w:eastAsia="黑体" w:cs="黑体"/>
          <w:b w:val="0"/>
          <w:bCs/>
          <w:sz w:val="32"/>
          <w:szCs w:val="32"/>
        </w:rPr>
        <w:t xml:space="preserve">第二条 </w:t>
      </w:r>
      <w:r>
        <w:rPr>
          <w:rFonts w:hint="eastAsia" w:ascii="仿宋_GB2312" w:hAnsi="仿宋_GB2312" w:eastAsia="仿宋_GB2312" w:cs="仿宋_GB2312"/>
          <w:sz w:val="32"/>
          <w:szCs w:val="32"/>
        </w:rPr>
        <w:t>本办法适用于山东省辖区内各类所有制水泥企业新建水泥粉磨项目。</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color w:val="0070C0"/>
        </w:rPr>
      </w:pPr>
      <w:r>
        <w:rPr>
          <w:rStyle w:val="11"/>
          <w:rFonts w:hint="eastAsia" w:ascii="黑体" w:hAnsi="黑体" w:eastAsia="黑体" w:cs="黑体"/>
          <w:b w:val="0"/>
          <w:bCs/>
          <w:sz w:val="32"/>
          <w:szCs w:val="32"/>
        </w:rPr>
        <w:t xml:space="preserve">第三条 </w:t>
      </w:r>
      <w:r>
        <w:rPr>
          <w:rStyle w:val="11"/>
          <w:rFonts w:hint="eastAsia" w:ascii="仿宋_GB2312" w:hAnsi="仿宋_GB2312" w:eastAsia="仿宋_GB2312" w:cs="仿宋_GB2312"/>
          <w:b w:val="0"/>
          <w:bCs/>
          <w:color w:val="000000" w:themeColor="text1"/>
          <w:sz w:val="32"/>
          <w:szCs w:val="32"/>
          <w:lang w:eastAsia="zh-CN"/>
          <w14:textFill>
            <w14:solidFill>
              <w14:schemeClr w14:val="tx1"/>
            </w14:solidFill>
          </w14:textFill>
        </w:rPr>
        <w:t>所有</w:t>
      </w:r>
      <w:r>
        <w:rPr>
          <w:rFonts w:hint="eastAsia" w:ascii="仿宋_GB2312" w:hAnsi="仿宋_GB2312" w:eastAsia="仿宋_GB2312" w:cs="仿宋_GB2312"/>
          <w:b w:val="0"/>
          <w:bCs/>
          <w:color w:val="000000" w:themeColor="text1"/>
          <w:sz w:val="32"/>
          <w:szCs w:val="32"/>
          <w14:textFill>
            <w14:solidFill>
              <w14:schemeClr w14:val="tx1"/>
            </w14:solidFill>
          </w14:textFill>
        </w:rPr>
        <w:t>新建</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color w:val="000000" w:themeColor="text1"/>
          <w:sz w:val="32"/>
          <w:szCs w:val="32"/>
          <w14:textFill>
            <w14:solidFill>
              <w14:schemeClr w14:val="tx1"/>
            </w14:solidFill>
          </w14:textFill>
        </w:rPr>
        <w:t>水</w:t>
      </w:r>
      <w:r>
        <w:rPr>
          <w:rFonts w:hint="eastAsia" w:ascii="仿宋_GB2312" w:hAnsi="仿宋_GB2312" w:eastAsia="仿宋_GB2312" w:cs="仿宋_GB2312"/>
          <w:color w:val="000000" w:themeColor="text1"/>
          <w:sz w:val="32"/>
          <w:szCs w:val="32"/>
          <w14:textFill>
            <w14:solidFill>
              <w14:schemeClr w14:val="tx1"/>
            </w14:solidFill>
          </w14:textFill>
        </w:rPr>
        <w:t>泥粉</w:t>
      </w:r>
      <w:r>
        <w:rPr>
          <w:rFonts w:hint="eastAsia" w:ascii="仿宋_GB2312" w:hAnsi="仿宋_GB2312" w:eastAsia="仿宋_GB2312" w:cs="仿宋_GB2312"/>
          <w:sz w:val="32"/>
          <w:szCs w:val="32"/>
        </w:rPr>
        <w:t>磨项目，须制定产能置换方案，严格执行产能减量替代</w:t>
      </w:r>
      <w:r>
        <w:rPr>
          <w:rFonts w:hint="eastAsia" w:ascii="仿宋_GB2312" w:hAnsi="仿宋_GB2312" w:eastAsia="仿宋_GB2312" w:cs="仿宋_GB2312"/>
          <w:sz w:val="32"/>
          <w:szCs w:val="32"/>
          <w:shd w:val="clear" w:color="auto" w:fill="FFFFFF"/>
        </w:rPr>
        <w:t>。</w:t>
      </w:r>
    </w:p>
    <w:p>
      <w:pPr>
        <w:spacing w:line="600" w:lineRule="exact"/>
        <w:ind w:firstLine="640" w:firstLineChars="200"/>
        <w:rPr>
          <w:rFonts w:ascii="仿宋_GB2312" w:hAnsi="仿宋_GB2312" w:eastAsia="仿宋_GB2312" w:cs="仿宋_GB2312"/>
          <w:color w:val="3E3E3E"/>
          <w:sz w:val="32"/>
          <w:szCs w:val="32"/>
          <w:shd w:val="clear" w:color="auto" w:fill="FFFFFF"/>
        </w:rPr>
      </w:pPr>
      <w:r>
        <w:rPr>
          <w:rStyle w:val="11"/>
          <w:rFonts w:hint="eastAsia" w:ascii="黑体" w:hAnsi="黑体" w:eastAsia="黑体" w:cs="黑体"/>
          <w:b w:val="0"/>
          <w:bCs/>
          <w:sz w:val="32"/>
          <w:szCs w:val="32"/>
        </w:rPr>
        <w:t xml:space="preserve">第四条 </w:t>
      </w:r>
      <w:r>
        <w:rPr>
          <w:rFonts w:hint="eastAsia" w:ascii="仿宋_GB2312" w:hAnsi="仿宋_GB2312" w:eastAsia="仿宋_GB2312" w:cs="仿宋_GB2312"/>
          <w:color w:val="000000"/>
          <w:kern w:val="0"/>
          <w:sz w:val="31"/>
          <w:szCs w:val="31"/>
          <w:lang w:bidi="ar"/>
        </w:rPr>
        <w:t>水泥粉磨产能可以在省内各市、县（市、区）之间转移，也可以向</w:t>
      </w:r>
      <w:r>
        <w:rPr>
          <w:rFonts w:hint="eastAsia" w:ascii="仿宋_GB2312" w:hAnsi="仿宋_GB2312" w:eastAsia="仿宋_GB2312" w:cs="仿宋_GB2312"/>
          <w:sz w:val="32"/>
          <w:szCs w:val="32"/>
        </w:rPr>
        <w:t>省外转移。省外水泥粉磨产能不得转入我省</w:t>
      </w:r>
      <w:r>
        <w:rPr>
          <w:rFonts w:hint="eastAsia" w:ascii="仿宋_GB2312" w:hAnsi="仿宋_GB2312" w:eastAsia="仿宋_GB2312" w:cs="仿宋_GB2312"/>
          <w:color w:val="000000"/>
          <w:kern w:val="0"/>
          <w:sz w:val="31"/>
          <w:szCs w:val="31"/>
          <w:lang w:bidi="ar"/>
        </w:rPr>
        <w:t>。</w:t>
      </w:r>
    </w:p>
    <w:p>
      <w:pPr>
        <w:pStyle w:val="7"/>
        <w:widowControl/>
        <w:shd w:val="clear" w:color="auto" w:fill="FFFFFF"/>
        <w:spacing w:beforeAutospacing="0" w:afterAutospacing="0" w:line="600" w:lineRule="exact"/>
        <w:ind w:firstLine="640" w:firstLineChars="200"/>
        <w:rPr>
          <w:rStyle w:val="11"/>
          <w:rFonts w:ascii="黑体" w:hAnsi="黑体" w:eastAsia="黑体" w:cs="黑体"/>
          <w:b w:val="0"/>
          <w:bCs/>
          <w:sz w:val="32"/>
          <w:szCs w:val="32"/>
        </w:rPr>
      </w:pPr>
      <w:r>
        <w:rPr>
          <w:rStyle w:val="11"/>
          <w:rFonts w:hint="eastAsia" w:ascii="黑体" w:hAnsi="黑体" w:eastAsia="黑体" w:cs="黑体"/>
          <w:b w:val="0"/>
          <w:bCs/>
          <w:sz w:val="32"/>
          <w:szCs w:val="32"/>
        </w:rPr>
        <w:t xml:space="preserve">第五条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产能置换应有利于推动产业结构调整和布局优化，各地要</w:t>
      </w:r>
      <w:r>
        <w:rPr>
          <w:rFonts w:hint="eastAsia" w:ascii="仿宋_GB2312" w:hAnsi="仿宋_GB2312" w:eastAsia="仿宋_GB2312" w:cs="仿宋_GB2312"/>
          <w:color w:val="000000" w:themeColor="text1"/>
          <w:sz w:val="32"/>
          <w:szCs w:val="32"/>
          <w14:textFill>
            <w14:solidFill>
              <w14:schemeClr w14:val="tx1"/>
            </w14:solidFill>
          </w14:textFill>
        </w:rPr>
        <w:t>结合本地区的产业结构、产业布局和产业转型发展实际，统筹考虑产能置换建设项目所在区域的</w:t>
      </w:r>
      <w:r>
        <w:rPr>
          <w:rFonts w:hint="eastAsia" w:ascii="仿宋_GB2312" w:hAnsi="仿宋_GB2312" w:eastAsia="仿宋_GB2312" w:cs="仿宋_GB2312"/>
          <w:sz w:val="32"/>
          <w:szCs w:val="32"/>
        </w:rPr>
        <w:t>环境容量、能耗指标、资源禀赋、市场需求、物流运输等因素，科学论证决策项目建设的必要性和可行性。</w:t>
      </w:r>
    </w:p>
    <w:p>
      <w:pPr>
        <w:pStyle w:val="7"/>
        <w:widowControl/>
        <w:shd w:val="clear" w:color="auto" w:fill="FFFFFF"/>
        <w:spacing w:beforeAutospacing="0" w:afterAutospacing="0" w:line="600" w:lineRule="exact"/>
        <w:ind w:firstLine="640" w:firstLineChars="200"/>
        <w:rPr>
          <w:rFonts w:hint="eastAsia" w:ascii="仿宋_GB2312" w:hAnsi="微软雅黑" w:eastAsia="仿宋_GB2312" w:cs="微软雅黑"/>
          <w:color w:val="000000"/>
          <w:sz w:val="32"/>
          <w:szCs w:val="32"/>
          <w:lang w:bidi="ar"/>
        </w:rPr>
      </w:pPr>
      <w:r>
        <w:rPr>
          <w:rStyle w:val="11"/>
          <w:rFonts w:hint="eastAsia" w:ascii="黑体" w:hAnsi="黑体" w:eastAsia="黑体" w:cs="黑体"/>
          <w:b w:val="0"/>
          <w:bCs/>
          <w:sz w:val="32"/>
          <w:szCs w:val="32"/>
        </w:rPr>
        <w:t xml:space="preserve">第六条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2022年年底前退出的3.2米及以下水泥粉磨装置，以及3.2米以上主动退出的水泥粉磨装置，以现有建成装置核定粉磨产能，核定产能经公示无异议公告后，可以进行产能置换。</w:t>
      </w:r>
      <w:r>
        <w:rPr>
          <w:rFonts w:hint="eastAsia" w:ascii="仿宋_GB2312" w:hAnsi="微软雅黑" w:eastAsia="仿宋_GB2312" w:cs="微软雅黑"/>
          <w:color w:val="000000"/>
          <w:sz w:val="32"/>
          <w:szCs w:val="32"/>
          <w:lang w:bidi="ar"/>
        </w:rPr>
        <w:t>特种水泥熟料企业申请保留配套的3.2米及以下磨机产能，不得参与通用水泥磨机产能置换。</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shd w:val="clear" w:color="auto" w:fill="FFFFFF"/>
        </w:rPr>
        <w:t xml:space="preserve">第七条 </w:t>
      </w:r>
      <w:r>
        <w:rPr>
          <w:rFonts w:hint="eastAsia" w:ascii="仿宋_GB2312" w:hAnsi="仿宋_GB2312" w:eastAsia="仿宋_GB2312" w:cs="仿宋_GB2312"/>
          <w:sz w:val="32"/>
          <w:szCs w:val="32"/>
        </w:rPr>
        <w:t>新建水泥粉磨项目，产能置换比例为2:1，每建设1吨产能须关闭退出2吨产能。</w:t>
      </w:r>
    </w:p>
    <w:p>
      <w:pPr>
        <w:spacing w:line="60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新建水泥粉磨项目的核定产能，以实际建成装置按照中国水泥协会最新发布的水泥产能核定标准确定。 </w:t>
      </w:r>
    </w:p>
    <w:p>
      <w:pPr>
        <w:spacing w:line="600" w:lineRule="exact"/>
        <w:ind w:firstLine="640" w:firstLineChars="200"/>
        <w:rPr>
          <w:rFonts w:ascii="仿宋_GB2312" w:hAnsi="仿宋_GB2312" w:eastAsia="仿宋_GB2312" w:cs="仿宋_GB2312"/>
          <w:sz w:val="32"/>
          <w:szCs w:val="32"/>
        </w:rPr>
      </w:pPr>
      <w:r>
        <w:rPr>
          <w:rStyle w:val="11"/>
          <w:rFonts w:hint="eastAsia" w:ascii="黑体" w:hAnsi="黑体" w:eastAsia="黑体" w:cs="黑体"/>
          <w:b w:val="0"/>
          <w:bCs/>
          <w:sz w:val="32"/>
          <w:szCs w:val="32"/>
        </w:rPr>
        <w:t xml:space="preserve">第九条 </w:t>
      </w:r>
      <w:r>
        <w:rPr>
          <w:rFonts w:hint="eastAsia" w:ascii="仿宋_GB2312" w:hAnsi="仿宋_GB2312" w:eastAsia="仿宋_GB2312" w:cs="仿宋_GB2312"/>
          <w:color w:val="000000"/>
          <w:sz w:val="31"/>
          <w:szCs w:val="31"/>
          <w:lang w:bidi="ar"/>
        </w:rPr>
        <w:t>用于置换的水泥粉磨产能</w:t>
      </w:r>
      <w:r>
        <w:rPr>
          <w:rFonts w:hint="eastAsia" w:ascii="仿宋_GB2312" w:hAnsi="仿宋_GB2312" w:eastAsia="仿宋_GB2312" w:cs="仿宋_GB2312"/>
          <w:color w:val="000000"/>
          <w:sz w:val="31"/>
          <w:szCs w:val="31"/>
          <w:lang w:eastAsia="zh-CN" w:bidi="ar"/>
        </w:rPr>
        <w:t>可以</w:t>
      </w:r>
      <w:r>
        <w:rPr>
          <w:rFonts w:hint="eastAsia" w:ascii="仿宋_GB2312" w:hAnsi="仿宋_GB2312" w:eastAsia="仿宋_GB2312" w:cs="仿宋_GB2312"/>
          <w:color w:val="000000"/>
          <w:sz w:val="31"/>
          <w:szCs w:val="31"/>
          <w:lang w:bidi="ar"/>
        </w:rPr>
        <w:t>拆分</w:t>
      </w:r>
      <w:r>
        <w:rPr>
          <w:rFonts w:hint="eastAsia" w:ascii="仿宋_GB2312" w:hAnsi="仿宋_GB2312" w:eastAsia="仿宋_GB2312" w:cs="仿宋_GB2312"/>
          <w:color w:val="000000"/>
          <w:sz w:val="31"/>
          <w:szCs w:val="31"/>
          <w:lang w:eastAsia="zh-CN" w:bidi="ar"/>
        </w:rPr>
        <w:t>，但拆分</w:t>
      </w:r>
      <w:r>
        <w:rPr>
          <w:rFonts w:hint="eastAsia" w:ascii="仿宋_GB2312" w:hAnsi="仿宋_GB2312" w:eastAsia="仿宋_GB2312" w:cs="仿宋_GB2312"/>
          <w:color w:val="000000"/>
          <w:sz w:val="31"/>
          <w:szCs w:val="31"/>
          <w:lang w:bidi="ar"/>
        </w:rPr>
        <w:t>转让不得超过两次。</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 xml:space="preserve">第十条 </w:t>
      </w:r>
      <w:r>
        <w:rPr>
          <w:rFonts w:hint="eastAsia" w:ascii="仿宋_GB2312" w:hAnsi="仿宋_GB2312" w:eastAsia="仿宋_GB2312" w:cs="仿宋_GB2312"/>
          <w:color w:val="000000"/>
          <w:kern w:val="2"/>
          <w:sz w:val="31"/>
          <w:szCs w:val="31"/>
          <w:lang w:bidi="ar"/>
        </w:rPr>
        <w:t>具备下</w:t>
      </w:r>
      <w:r>
        <w:rPr>
          <w:rFonts w:hint="eastAsia" w:ascii="仿宋_GB2312" w:hAnsi="仿宋_GB2312" w:eastAsia="仿宋_GB2312" w:cs="仿宋_GB2312"/>
          <w:sz w:val="32"/>
          <w:szCs w:val="32"/>
        </w:rPr>
        <w:t>列情形之一的，可以不制定产能置换方案：</w:t>
      </w:r>
    </w:p>
    <w:p>
      <w:pPr>
        <w:widowControl/>
        <w:spacing w:line="600" w:lineRule="exact"/>
        <w:ind w:firstLine="62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0"/>
          <w:sz w:val="31"/>
          <w:szCs w:val="31"/>
          <w:lang w:bidi="ar"/>
        </w:rPr>
        <w:t>（一）依托现有水泥磨机，实施</w:t>
      </w:r>
      <w:r>
        <w:rPr>
          <w:rFonts w:hint="eastAsia" w:ascii="仿宋_GB2312" w:hAnsi="仿宋_GB2312" w:eastAsia="仿宋_GB2312" w:cs="仿宋_GB2312"/>
          <w:kern w:val="0"/>
          <w:sz w:val="31"/>
          <w:szCs w:val="31"/>
          <w:lang w:bidi="ar"/>
        </w:rPr>
        <w:t>提升产品质量、增加安全设施、</w:t>
      </w:r>
      <w:r>
        <w:rPr>
          <w:rFonts w:hint="eastAsia" w:ascii="仿宋_GB2312" w:hAnsi="仿宋_GB2312" w:eastAsia="仿宋_GB2312" w:cs="仿宋_GB2312"/>
          <w:color w:val="000000"/>
          <w:kern w:val="0"/>
          <w:sz w:val="31"/>
          <w:szCs w:val="31"/>
          <w:lang w:bidi="ar"/>
        </w:rPr>
        <w:t>治污减排、节能降耗、协同处置、提升装备水平等不扩大产能的技术改造项目。</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（二）不属于明令淘汰落后产能项目，因当地发展规划</w:t>
      </w:r>
      <w:r>
        <w:rPr>
          <w:rFonts w:hint="eastAsia" w:ascii="仿宋_GB2312" w:hAnsi="仿宋_GB2312" w:eastAsia="仿宋_GB2312" w:cs="仿宋_GB2312"/>
          <w:sz w:val="32"/>
          <w:szCs w:val="32"/>
          <w:shd w:val="clear" w:color="auto" w:fill="FFFFFF"/>
        </w:rPr>
        <w:t>和城市规划调整，</w:t>
      </w:r>
      <w:r>
        <w:rPr>
          <w:rFonts w:hint="eastAsia" w:ascii="仿宋_GB2312" w:hAnsi="仿宋_GB2312" w:eastAsia="仿宋_GB2312" w:cs="仿宋_GB2312"/>
          <w:sz w:val="32"/>
          <w:szCs w:val="32"/>
        </w:rPr>
        <w:t>在同一市范围内不改变建设主体、不增加产能进行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迁建的</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可不制定产能置换方案，</w:t>
      </w:r>
      <w:r>
        <w:rPr>
          <w:rFonts w:hint="eastAsia" w:ascii="仿宋_GB2312" w:hAnsi="仿宋_GB2312" w:eastAsia="仿宋_GB2312" w:cs="仿宋_GB2312"/>
          <w:sz w:val="32"/>
          <w:szCs w:val="32"/>
        </w:rPr>
        <w:t>但应在省工业和信息化部门</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rPr>
        <w:t>公示、公告项目迁建情况，主动接受社会监督。</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鲁动能〔</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2021</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3号文件印发前</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，已经建成投产或已开工建设的直径3.2米以上产能置换不足的水</w:t>
      </w:r>
      <w:r>
        <w:rPr>
          <w:rFonts w:hint="eastAsia" w:ascii="仿宋_GB2312" w:hAnsi="仿宋_GB2312" w:eastAsia="仿宋_GB2312" w:cs="仿宋_GB2312"/>
          <w:sz w:val="32"/>
          <w:szCs w:val="32"/>
          <w:shd w:val="clear" w:color="auto" w:fill="FFFFFF"/>
        </w:rPr>
        <w:t>泥粉磨项目，须按照</w:t>
      </w:r>
      <w:r>
        <w:rPr>
          <w:rFonts w:hint="eastAsia" w:ascii="仿宋_GB2312" w:hAnsi="仿宋_GB2312" w:eastAsia="仿宋_GB2312" w:cs="仿宋_GB2312"/>
          <w:sz w:val="32"/>
          <w:szCs w:val="32"/>
        </w:rPr>
        <w:t>鲁政办字〔2021〕98号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相关文件规定，完善手续并补齐产能置换不足部分，</w:t>
      </w:r>
      <w:r>
        <w:rPr>
          <w:rFonts w:hint="eastAsia" w:ascii="仿宋_GB2312" w:hAnsi="仿宋_GB2312" w:eastAsia="仿宋_GB2312" w:cs="仿宋_GB2312"/>
          <w:sz w:val="32"/>
          <w:szCs w:val="32"/>
          <w:shd w:val="clear" w:color="auto" w:fill="FFFFFF"/>
        </w:rPr>
        <w:t>可不制定产能置换方案，应</w:t>
      </w:r>
      <w:r>
        <w:rPr>
          <w:rFonts w:hint="eastAsia" w:ascii="仿宋_GB2312" w:hAnsi="仿宋_GB2312" w:eastAsia="仿宋_GB2312" w:cs="仿宋_GB2312"/>
          <w:sz w:val="32"/>
          <w:szCs w:val="32"/>
        </w:rPr>
        <w:t>在省工业和信息化部门</w:t>
      </w:r>
      <w:r>
        <w:rPr>
          <w:rFonts w:hint="eastAsia" w:ascii="仿宋_GB2312" w:hAnsi="仿宋_GB2312" w:eastAsia="仿宋_GB2312" w:cs="仿宋_GB2312"/>
          <w:sz w:val="32"/>
          <w:szCs w:val="32"/>
          <w:lang w:eastAsia="zh-CN"/>
        </w:rPr>
        <w:t>网站</w:t>
      </w:r>
      <w:r>
        <w:rPr>
          <w:rFonts w:hint="eastAsia" w:ascii="仿宋_GB2312" w:hAnsi="仿宋_GB2312" w:eastAsia="仿宋_GB2312" w:cs="仿宋_GB2312"/>
          <w:sz w:val="32"/>
          <w:szCs w:val="32"/>
          <w:shd w:val="clear" w:color="auto" w:fill="FFFFFF"/>
        </w:rPr>
        <w:t>公示、公告产能来源。</w:t>
      </w:r>
    </w:p>
    <w:p>
      <w:pPr>
        <w:pStyle w:val="7"/>
        <w:widowControl/>
        <w:shd w:val="clear" w:color="auto" w:fill="FFFFFF"/>
        <w:spacing w:beforeAutospacing="0" w:afterAutospacing="0" w:line="600" w:lineRule="exact"/>
        <w:ind w:firstLine="640" w:firstLineChars="200"/>
        <w:rPr>
          <w:rFonts w:hint="eastAsia" w:ascii="仿宋_GB2312" w:hAnsi="仿宋_GB2312" w:eastAsia="仿宋_GB2312" w:cs="仿宋_GB2312"/>
          <w:sz w:val="32"/>
          <w:szCs w:val="32"/>
          <w:shd w:val="clear" w:color="auto" w:fill="FFFFFF"/>
        </w:rPr>
      </w:pPr>
      <w:r>
        <w:rPr>
          <w:rFonts w:hint="eastAsia" w:ascii="CESI黑体-GB13000" w:hAnsi="CESI黑体-GB13000" w:eastAsia="CESI黑体-GB13000" w:cs="CESI黑体-GB13000"/>
          <w:color w:val="000000" w:themeColor="text1"/>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用</w:t>
      </w:r>
      <w:r>
        <w:rPr>
          <w:rFonts w:hint="eastAsia" w:ascii="仿宋_GB2312" w:hAnsi="仿宋_GB2312" w:eastAsia="仿宋_GB2312" w:cs="仿宋_GB2312"/>
          <w:sz w:val="32"/>
          <w:szCs w:val="32"/>
          <w:shd w:val="clear" w:color="auto" w:fill="FFFFFF"/>
        </w:rPr>
        <w:t>于产能置换的粉磨装置，在置换项目投产前必须关停拆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w:t>
      </w:r>
      <w:r>
        <w:rPr>
          <w:rFonts w:hint="eastAsia" w:ascii="仿宋_GB2312" w:hAnsi="仿宋_GB2312" w:eastAsia="仿宋_GB2312" w:cs="仿宋_GB2312"/>
          <w:color w:val="000000" w:themeColor="text1"/>
          <w:sz w:val="32"/>
          <w:szCs w:val="32"/>
          <w14:textFill>
            <w14:solidFill>
              <w14:schemeClr w14:val="tx1"/>
            </w14:solidFill>
          </w14:textFill>
        </w:rPr>
        <w:t>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产能出让地</w:t>
      </w:r>
      <w:r>
        <w:rPr>
          <w:rFonts w:hint="eastAsia" w:ascii="仿宋_GB2312" w:hAnsi="仿宋_GB2312" w:eastAsia="仿宋_GB2312" w:cs="仿宋_GB2312"/>
          <w:color w:val="000000" w:themeColor="text1"/>
          <w:sz w:val="32"/>
          <w:szCs w:val="32"/>
          <w14:textFill>
            <w14:solidFill>
              <w14:schemeClr w14:val="tx1"/>
            </w14:solidFill>
          </w14:textFill>
        </w:rPr>
        <w:t>市级工业</w:t>
      </w:r>
      <w:r>
        <w:rPr>
          <w:rFonts w:hint="eastAsia" w:ascii="仿宋_GB2312" w:hAnsi="仿宋_GB2312" w:eastAsia="仿宋_GB2312" w:cs="仿宋_GB2312"/>
          <w:sz w:val="32"/>
          <w:szCs w:val="32"/>
        </w:rPr>
        <w:t>和信息</w:t>
      </w:r>
      <w:r>
        <w:rPr>
          <w:rFonts w:hint="eastAsia" w:ascii="仿宋_GB2312" w:hAnsi="仿宋_GB2312" w:eastAsia="仿宋_GB2312" w:cs="仿宋_GB2312"/>
          <w:color w:val="000000" w:themeColor="text1"/>
          <w:sz w:val="32"/>
          <w:szCs w:val="32"/>
          <w14:textFill>
            <w14:solidFill>
              <w14:schemeClr w14:val="tx1"/>
            </w14:solidFill>
          </w14:textFill>
        </w:rPr>
        <w:t>化局组织验收拆除。</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产能分拆的置换项目，按最先建成投产的建设项</w:t>
      </w:r>
      <w:r>
        <w:rPr>
          <w:rFonts w:hint="eastAsia" w:ascii="仿宋_GB2312" w:hAnsi="仿宋_GB2312" w:eastAsia="仿宋_GB2312" w:cs="仿宋_GB2312"/>
          <w:sz w:val="32"/>
          <w:szCs w:val="32"/>
          <w:shd w:val="clear" w:color="auto" w:fill="FFFFFF"/>
        </w:rPr>
        <w:t>目时间计算。</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跨市产能置换的，由项目</w:t>
      </w:r>
      <w:r>
        <w:rPr>
          <w:rFonts w:hint="eastAsia" w:ascii="仿宋_GB2312" w:hAnsi="仿宋_GB2312" w:eastAsia="仿宋_GB2312" w:cs="仿宋_GB2312"/>
          <w:sz w:val="32"/>
          <w:szCs w:val="32"/>
        </w:rPr>
        <w:t>产能出让地会同项目建设所在地市级工业和信息</w:t>
      </w:r>
      <w:r>
        <w:rPr>
          <w:rFonts w:hint="eastAsia" w:ascii="仿宋_GB2312" w:hAnsi="仿宋_GB2312" w:eastAsia="仿宋_GB2312" w:cs="仿宋_GB2312"/>
          <w:color w:val="000000" w:themeColor="text1"/>
          <w:sz w:val="32"/>
          <w:szCs w:val="32"/>
          <w14:textFill>
            <w14:solidFill>
              <w14:schemeClr w14:val="tx1"/>
            </w14:solidFill>
          </w14:textFill>
        </w:rPr>
        <w:t>化局组织验收拆</w:t>
      </w:r>
      <w:r>
        <w:rPr>
          <w:rFonts w:hint="eastAsia" w:ascii="仿宋_GB2312" w:hAnsi="仿宋_GB2312" w:eastAsia="仿宋_GB2312" w:cs="仿宋_GB2312"/>
          <w:sz w:val="32"/>
          <w:szCs w:val="32"/>
        </w:rPr>
        <w:t>除。因债务纠纷、法院查封设备等原因导致暂时无法拆除的，必须就地封存；待具备拆除条件后，立即拆除。</w:t>
      </w:r>
    </w:p>
    <w:p>
      <w:pPr>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产能置换方案的制定包括建设项目情况和出让产能情况，须包括但不限于以下主要内容</w:t>
      </w:r>
      <w:r>
        <w:rPr>
          <w:rFonts w:hint="eastAsia" w:ascii="仿宋_GB2312" w:hAnsi="仿宋_GB2312" w:eastAsia="仿宋_GB2312" w:cs="仿宋_GB2312"/>
          <w:sz w:val="32"/>
          <w:szCs w:val="32"/>
          <w:lang w:eastAsia="zh-CN"/>
        </w:rPr>
        <w:t>：</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（一）建设项目所属企业名称，主体设备（生产线）拟建的具体位置，拟建主体设备（生产线）名称、主体设备（生产线）规格型号及数量，设计产能，置换指标产能，计划投产时间，置换比例。</w:t>
      </w:r>
    </w:p>
    <w:p>
      <w:pPr>
        <w:pStyle w:val="7"/>
        <w:widowControl/>
        <w:shd w:val="clear" w:color="auto" w:fill="FFFFFF"/>
        <w:spacing w:beforeAutospacing="0" w:afterAutospacing="0" w:line="60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（二）用于置换的产能所属企业名称，统一社会信用代码，主体设备（生产线）所在具体位置，企业的水泥生产许可证号及有效期，主体设备（生产线）名称、规格型号及数量，备案或核准文件上的设计产能，</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环评文件产能</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，核定产能，用于本项目置换产能，计划关停时间，计划拆除时间。</w:t>
      </w:r>
    </w:p>
    <w:p>
      <w:pPr>
        <w:spacing w:line="60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11"/>
          <w:rFonts w:hint="eastAsia" w:ascii="黑体" w:hAnsi="黑体" w:eastAsia="黑体" w:cs="黑体"/>
          <w:b w:val="0"/>
          <w:bCs/>
          <w:sz w:val="32"/>
          <w:szCs w:val="32"/>
        </w:rPr>
        <w:t xml:space="preserve">第十三条 </w:t>
      </w:r>
      <w:r>
        <w:rPr>
          <w:rFonts w:hint="eastAsia" w:ascii="仿宋_GB2312" w:hAnsi="仿宋_GB2312" w:eastAsia="仿宋_GB2312" w:cs="仿宋_GB2312"/>
          <w:sz w:val="32"/>
          <w:szCs w:val="32"/>
        </w:rPr>
        <w:t>建设项目产能置换方案（</w:t>
      </w:r>
      <w:r>
        <w:rPr>
          <w:rFonts w:hint="eastAsia" w:ascii="仿宋_GB2312" w:hAnsi="仿宋_GB2312" w:eastAsia="仿宋_GB2312" w:cs="仿宋_GB2312"/>
          <w:sz w:val="32"/>
          <w:szCs w:val="32"/>
          <w:lang w:eastAsia="zh-CN"/>
        </w:rPr>
        <w:t>式样见</w:t>
      </w:r>
      <w:r>
        <w:rPr>
          <w:rFonts w:hint="eastAsia" w:ascii="仿宋_GB2312" w:hAnsi="仿宋_GB2312" w:eastAsia="仿宋_GB2312" w:cs="仿宋_GB2312"/>
          <w:sz w:val="32"/>
          <w:szCs w:val="32"/>
        </w:rPr>
        <w:t>附件）由项目建设企业制定，企业申请产能置换，须出具产能出（受）让双方正式签订的产能置换转让协议，建设企业将产能置换方案报所在县(市</w:t>
      </w:r>
      <w:r>
        <w:rPr>
          <w:rFonts w:hint="eastAsia" w:ascii="仿宋_GB2312" w:hAnsi="仿宋_GB2312" w:eastAsia="仿宋_GB2312" w:cs="仿宋_GB2312"/>
          <w:color w:val="000000" w:themeColor="text1"/>
          <w:sz w:val="32"/>
          <w:szCs w:val="32"/>
          <w14:textFill>
            <w14:solidFill>
              <w14:schemeClr w14:val="tx1"/>
            </w14:solidFill>
          </w14:textFill>
        </w:rPr>
        <w:t>、区)、市工业和信息化部门</w:t>
      </w:r>
      <w:r>
        <w:rPr>
          <w:rFonts w:hint="eastAsia" w:ascii="仿宋_GB2312" w:hAnsi="仿宋_GB2312" w:eastAsia="仿宋_GB2312" w:cs="仿宋_GB2312"/>
          <w:color w:val="000000" w:themeColor="text1"/>
          <w:sz w:val="32"/>
          <w:szCs w:val="32"/>
          <w:lang w:eastAsia="zh-CN"/>
          <w14:textFill>
            <w14:solidFill>
              <w14:schemeClr w14:val="tx1"/>
            </w14:solidFill>
          </w14:textFill>
        </w:rPr>
        <w:t>，县、市</w:t>
      </w:r>
      <w:r>
        <w:rPr>
          <w:rFonts w:hint="eastAsia" w:ascii="仿宋_GB2312" w:hAnsi="仿宋_GB2312" w:eastAsia="仿宋_GB2312" w:cs="仿宋_GB2312"/>
          <w:color w:val="000000" w:themeColor="text1"/>
          <w:sz w:val="32"/>
          <w:szCs w:val="32"/>
          <w14:textFill>
            <w14:solidFill>
              <w14:schemeClr w14:val="tx1"/>
            </w14:solidFill>
          </w14:textFill>
        </w:rPr>
        <w:t>逐级审核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上</w:t>
      </w:r>
      <w:r>
        <w:rPr>
          <w:rFonts w:hint="eastAsia" w:ascii="仿宋_GB2312" w:hAnsi="仿宋_GB2312" w:eastAsia="仿宋_GB2312" w:cs="仿宋_GB2312"/>
          <w:color w:val="000000" w:themeColor="text1"/>
          <w:sz w:val="32"/>
          <w:szCs w:val="32"/>
          <w14:textFill>
            <w14:solidFill>
              <w14:schemeClr w14:val="tx1"/>
            </w14:solidFill>
          </w14:textFill>
        </w:rPr>
        <w:t>报省工业和信息化</w:t>
      </w:r>
      <w:r>
        <w:rPr>
          <w:rFonts w:hint="eastAsia" w:ascii="仿宋_GB2312" w:hAnsi="仿宋_GB2312" w:eastAsia="仿宋_GB2312" w:cs="仿宋_GB2312"/>
          <w:color w:val="000000" w:themeColor="text1"/>
          <w:sz w:val="32"/>
          <w:szCs w:val="32"/>
          <w:lang w:eastAsia="zh-CN"/>
          <w14:textFill>
            <w14:solidFill>
              <w14:schemeClr w14:val="tx1"/>
            </w14:solidFill>
          </w14:textFill>
        </w:rPr>
        <w:t>厅，经</w:t>
      </w:r>
      <w:r>
        <w:rPr>
          <w:rFonts w:hint="eastAsia" w:ascii="仿宋_GB2312" w:hAnsi="仿宋_GB2312" w:eastAsia="仿宋_GB2312" w:cs="仿宋_GB2312"/>
          <w:color w:val="000000" w:themeColor="text1"/>
          <w:sz w:val="32"/>
          <w:szCs w:val="32"/>
          <w14:textFill>
            <w14:solidFill>
              <w14:schemeClr w14:val="tx1"/>
            </w14:solidFill>
          </w14:textFill>
        </w:rPr>
        <w:t>复核确认后予以公示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，公示无异议的予以公告；有异议的，省工业和信息化厅会同有关部门和专家进行现场核实后，确定是否予以公告。方案经公告后，即可组织实施。</w:t>
      </w:r>
    </w:p>
    <w:p>
      <w:pPr>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仿宋_GB2312"/>
          <w:color w:val="000000" w:themeColor="text1"/>
          <w:sz w:val="32"/>
          <w:szCs w:val="32"/>
          <w14:textFill>
            <w14:solidFill>
              <w14:schemeClr w14:val="tx1"/>
            </w14:solidFill>
          </w14:textFill>
        </w:rPr>
        <w:t xml:space="preserve">第十四条 </w:t>
      </w:r>
      <w:r>
        <w:rPr>
          <w:rFonts w:hint="eastAsia" w:ascii="仿宋_GB2312" w:hAnsi="仿宋_GB2312" w:eastAsia="仿宋_GB2312" w:cs="仿宋_GB2312"/>
          <w:color w:val="000000" w:themeColor="text1"/>
          <w:sz w:val="32"/>
          <w:szCs w:val="32"/>
          <w14:textFill>
            <w14:solidFill>
              <w14:schemeClr w14:val="tx1"/>
            </w14:solidFill>
          </w14:textFill>
        </w:rPr>
        <w:t>产能置换方案已公告但未实施或内容发生重大变更的，须由产能出让企业和受让企业协商达成一致意见，经项目建设所在地市级工业和信息化部门核实确认无异议后，报省工业和信息化</w:t>
      </w:r>
      <w:r>
        <w:rPr>
          <w:rFonts w:hint="eastAsia" w:ascii="仿宋_GB2312" w:hAnsi="仿宋_GB2312" w:eastAsia="仿宋_GB2312" w:cs="仿宋_GB2312"/>
          <w:color w:val="000000" w:themeColor="text1"/>
          <w:sz w:val="32"/>
          <w:szCs w:val="32"/>
          <w:lang w:eastAsia="zh-CN"/>
          <w14:textFill>
            <w14:solidFill>
              <w14:schemeClr w14:val="tx1"/>
            </w14:solidFill>
          </w14:textFill>
        </w:rPr>
        <w:t>厅</w:t>
      </w:r>
      <w:r>
        <w:rPr>
          <w:rFonts w:hint="eastAsia" w:ascii="仿宋_GB2312" w:hAnsi="仿宋_GB2312" w:eastAsia="仿宋_GB2312" w:cs="仿宋_GB2312"/>
          <w:color w:val="000000" w:themeColor="text1"/>
          <w:sz w:val="32"/>
          <w:szCs w:val="32"/>
          <w14:textFill>
            <w14:solidFill>
              <w14:schemeClr w14:val="tx1"/>
            </w14:solidFill>
          </w14:textFill>
        </w:rPr>
        <w:t>复核确认，对原产能置换方案予以撤销或变更，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产能可以继续转让。</w:t>
      </w:r>
    </w:p>
    <w:p>
      <w:pPr>
        <w:widowControl/>
        <w:spacing w:line="600" w:lineRule="exact"/>
        <w:ind w:firstLine="640" w:firstLineChars="200"/>
        <w:rPr>
          <w:rFonts w:ascii="仿宋_GB2312" w:hAnsi="仿宋_GB2312" w:eastAsia="仿宋_GB2312" w:cs="仿宋_GB2312"/>
          <w:color w:val="000000"/>
          <w:kern w:val="0"/>
          <w:sz w:val="32"/>
          <w:szCs w:val="32"/>
          <w:lang w:bidi="ar"/>
        </w:rPr>
      </w:pPr>
      <w:r>
        <w:rPr>
          <w:rFonts w:hint="eastAsia" w:ascii="黑体" w:hAnsi="黑体" w:eastAsia="黑体" w:cs="黑体"/>
          <w:kern w:val="0"/>
          <w:sz w:val="32"/>
          <w:szCs w:val="32"/>
          <w:lang w:bidi="ar"/>
        </w:rPr>
        <w:t xml:space="preserve">第十五条 </w:t>
      </w:r>
      <w:r>
        <w:rPr>
          <w:rFonts w:hint="eastAsia" w:ascii="仿宋_GB2312" w:hAnsi="仿宋_GB2312" w:eastAsia="仿宋_GB2312" w:cs="仿宋_GB2312"/>
          <w:color w:val="000000"/>
          <w:kern w:val="0"/>
          <w:sz w:val="32"/>
          <w:szCs w:val="32"/>
          <w:lang w:bidi="ar"/>
        </w:rPr>
        <w:t>项目建设地市工业和信息化部门负责监督新建项目产能置换方案的落实，督促组织查验装置的实际生产能力，如存在弄虚作假、批建不符等行为，</w:t>
      </w:r>
      <w:r>
        <w:rPr>
          <w:rFonts w:hint="eastAsia" w:ascii="仿宋_GB2312" w:hAnsi="仿宋_GB2312" w:eastAsia="仿宋_GB2312" w:cs="仿宋_GB2312"/>
          <w:sz w:val="32"/>
          <w:szCs w:val="32"/>
        </w:rPr>
        <w:t>由项目管理部门</w:t>
      </w:r>
      <w:r>
        <w:rPr>
          <w:rFonts w:hint="eastAsia" w:ascii="仿宋_GB2312" w:hAnsi="仿宋_GB2312" w:eastAsia="仿宋_GB2312" w:cs="仿宋_GB2312"/>
          <w:color w:val="000000"/>
          <w:kern w:val="0"/>
          <w:sz w:val="32"/>
          <w:szCs w:val="32"/>
          <w:lang w:bidi="ar"/>
        </w:rPr>
        <w:t>依照《企业投资项目核准和备案管理条例》有关要求处罚，整改到位前不得开工投产。</w:t>
      </w:r>
    </w:p>
    <w:p>
      <w:pPr>
        <w:spacing w:line="600" w:lineRule="exact"/>
        <w:ind w:firstLine="640" w:firstLineChars="200"/>
      </w:pPr>
      <w:r>
        <w:rPr>
          <w:rStyle w:val="11"/>
          <w:rFonts w:hint="eastAsia" w:ascii="黑体" w:hAnsi="黑体" w:eastAsia="黑体" w:cs="黑体"/>
          <w:b w:val="0"/>
          <w:bCs/>
          <w:sz w:val="32"/>
          <w:szCs w:val="32"/>
        </w:rPr>
        <w:t xml:space="preserve">第十六条 </w:t>
      </w:r>
      <w:r>
        <w:rPr>
          <w:rFonts w:hint="eastAsia" w:ascii="仿宋_GB2312" w:hAnsi="仿宋_GB2312" w:eastAsia="仿宋_GB2312" w:cs="仿宋_GB2312"/>
          <w:color w:val="000000" w:themeColor="text1"/>
          <w:sz w:val="32"/>
          <w:szCs w:val="32"/>
          <w14:textFill>
            <w14:solidFill>
              <w14:schemeClr w14:val="tx1"/>
            </w14:solidFill>
          </w14:textFill>
        </w:rPr>
        <w:t>市工业和信息化部门在产能置</w:t>
      </w:r>
      <w:r>
        <w:rPr>
          <w:rFonts w:hint="eastAsia" w:ascii="仿宋_GB2312" w:hAnsi="仿宋_GB2312" w:eastAsia="仿宋_GB2312" w:cs="仿宋_GB2312"/>
          <w:sz w:val="32"/>
          <w:szCs w:val="32"/>
        </w:rPr>
        <w:t>换建设项目投产前，对已公告的置换方案落实执行情况进行督查，对出让退出产能生产线关停及拆除情况进行现场核验确认。</w:t>
      </w:r>
    </w:p>
    <w:p>
      <w:pPr>
        <w:widowControl/>
        <w:spacing w:line="600" w:lineRule="exact"/>
        <w:ind w:firstLine="640" w:firstLineChars="200"/>
        <w:jc w:val="left"/>
        <w:rPr>
          <w:rFonts w:ascii="黑体" w:hAnsi="宋体" w:eastAsia="黑体" w:cs="黑体"/>
          <w:color w:val="000000"/>
          <w:kern w:val="0"/>
          <w:sz w:val="31"/>
          <w:szCs w:val="31"/>
          <w:lang w:bidi="ar"/>
        </w:rPr>
      </w:pPr>
      <w:r>
        <w:rPr>
          <w:rStyle w:val="11"/>
          <w:rFonts w:hint="eastAsia" w:ascii="黑体" w:hAnsi="黑体" w:eastAsia="黑体" w:cs="黑体"/>
          <w:b w:val="0"/>
          <w:bCs/>
          <w:sz w:val="32"/>
          <w:szCs w:val="32"/>
        </w:rPr>
        <w:t xml:space="preserve">第十七条 </w:t>
      </w:r>
      <w:r>
        <w:rPr>
          <w:rFonts w:hint="eastAsia" w:ascii="仿宋_GB2312" w:hAnsi="仿宋_GB2312" w:eastAsia="仿宋_GB2312" w:cs="仿宋_GB2312"/>
          <w:color w:val="000000"/>
          <w:kern w:val="0"/>
          <w:sz w:val="32"/>
          <w:szCs w:val="32"/>
          <w:lang w:bidi="ar"/>
        </w:rPr>
        <w:t>各市工业和信息化部门要畅通举报渠道，向社会公开举报电话等，鼓励行业协会、企事业单位、媒体和社会公众对产能置换方案执行情况和建设项目情况开展监督。</w:t>
      </w:r>
      <w:r>
        <w:rPr>
          <w:rFonts w:hint="eastAsia" w:ascii="黑体" w:hAnsi="宋体" w:eastAsia="黑体" w:cs="黑体"/>
          <w:color w:val="000000"/>
          <w:kern w:val="0"/>
          <w:sz w:val="31"/>
          <w:szCs w:val="31"/>
          <w:lang w:bidi="ar"/>
        </w:rPr>
        <w:t xml:space="preserve"> </w:t>
      </w:r>
    </w:p>
    <w:p>
      <w:pPr>
        <w:widowControl/>
        <w:spacing w:line="600" w:lineRule="exact"/>
        <w:ind w:firstLine="620" w:firstLineChars="200"/>
        <w:jc w:val="left"/>
        <w:rPr>
          <w:sz w:val="32"/>
          <w:szCs w:val="32"/>
        </w:rPr>
      </w:pPr>
      <w:r>
        <w:rPr>
          <w:rFonts w:hint="eastAsia" w:ascii="黑体" w:hAnsi="宋体" w:eastAsia="黑体" w:cs="黑体"/>
          <w:kern w:val="0"/>
          <w:sz w:val="31"/>
          <w:szCs w:val="31"/>
          <w:lang w:bidi="ar"/>
        </w:rPr>
        <w:t>第十八条</w:t>
      </w:r>
      <w:r>
        <w:rPr>
          <w:rFonts w:hint="eastAsia" w:ascii="黑体" w:hAnsi="宋体" w:eastAsia="黑体" w:cs="黑体"/>
          <w:color w:val="000000"/>
          <w:kern w:val="0"/>
          <w:sz w:val="31"/>
          <w:szCs w:val="31"/>
          <w:lang w:bidi="ar"/>
        </w:rPr>
        <w:t xml:space="preserve"> </w:t>
      </w:r>
      <w:r>
        <w:rPr>
          <w:rFonts w:hint="eastAsia" w:ascii="仿宋_GB2312" w:hAnsi="仿宋_GB2312" w:eastAsia="仿宋_GB2312" w:cs="仿宋_GB2312"/>
          <w:color w:val="000000"/>
          <w:kern w:val="0"/>
          <w:sz w:val="32"/>
          <w:szCs w:val="32"/>
          <w:lang w:bidi="ar"/>
        </w:rPr>
        <w:t>各市工业和信息化部门可以根据本办法，结合本地实际进一步明确细化程序和严格有关要求。</w:t>
      </w:r>
      <w:r>
        <w:rPr>
          <w:rFonts w:hint="eastAsia" w:ascii="仿宋" w:hAnsi="仿宋" w:eastAsia="仿宋" w:cs="仿宋"/>
          <w:color w:val="000000"/>
          <w:kern w:val="0"/>
          <w:sz w:val="32"/>
          <w:szCs w:val="32"/>
          <w:lang w:bidi="ar"/>
        </w:rPr>
        <w:t xml:space="preserve"> </w:t>
      </w:r>
    </w:p>
    <w:p>
      <w:pPr>
        <w:widowControl/>
        <w:spacing w:line="600" w:lineRule="exact"/>
        <w:ind w:firstLine="620" w:firstLineChars="200"/>
        <w:jc w:val="left"/>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kern w:val="0"/>
          <w:sz w:val="31"/>
          <w:szCs w:val="31"/>
          <w:lang w:bidi="ar"/>
        </w:rPr>
        <w:t>第十九条</w:t>
      </w:r>
      <w:r>
        <w:rPr>
          <w:rFonts w:hint="eastAsia" w:ascii="黑体" w:hAnsi="宋体" w:eastAsia="黑体" w:cs="黑体"/>
          <w:color w:val="000000"/>
          <w:kern w:val="0"/>
          <w:sz w:val="31"/>
          <w:szCs w:val="31"/>
          <w:lang w:bidi="ar"/>
        </w:rPr>
        <w:t xml:space="preserve"> </w:t>
      </w:r>
      <w:r>
        <w:rPr>
          <w:rFonts w:hint="eastAsia" w:ascii="仿宋_GB2312" w:hAnsi="仿宋_GB2312" w:eastAsia="仿宋_GB2312" w:cs="仿宋_GB2312"/>
          <w:color w:val="000000"/>
          <w:kern w:val="0"/>
          <w:sz w:val="32"/>
          <w:szCs w:val="32"/>
          <w:lang w:bidi="ar"/>
        </w:rPr>
        <w:t>本办法自2022年4月1日起施行</w:t>
      </w:r>
      <w:r>
        <w:rPr>
          <w:rFonts w:hint="eastAsia" w:ascii="仿宋_GB2312" w:hAnsi="仿宋_GB2312" w:eastAsia="仿宋_GB2312" w:cs="仿宋_GB2312"/>
          <w:color w:val="000000"/>
          <w:kern w:val="0"/>
          <w:sz w:val="32"/>
          <w:szCs w:val="32"/>
          <w:lang w:eastAsia="zh-CN" w:bidi="ar"/>
        </w:rPr>
        <w:t>，有效期至</w:t>
      </w:r>
      <w:r>
        <w:rPr>
          <w:rFonts w:hint="eastAsia" w:ascii="仿宋_GB2312" w:hAnsi="仿宋_GB2312" w:eastAsia="仿宋_GB2312" w:cs="仿宋_GB2312"/>
          <w:color w:val="000000"/>
          <w:kern w:val="0"/>
          <w:sz w:val="32"/>
          <w:szCs w:val="32"/>
          <w:lang w:val="en-US" w:eastAsia="zh-CN" w:bidi="ar"/>
        </w:rPr>
        <w:t>2025年3月31日。</w:t>
      </w:r>
    </w:p>
    <w:p>
      <w:pPr>
        <w:widowControl/>
        <w:spacing w:line="600" w:lineRule="exact"/>
        <w:ind w:firstLine="640" w:firstLineChars="200"/>
        <w:jc w:val="left"/>
        <w:rPr>
          <w:rFonts w:ascii="仿宋_GB2312" w:hAnsi="仿宋_GB2312" w:eastAsia="仿宋_GB2312" w:cs="仿宋_GB2312"/>
          <w:color w:val="000000"/>
          <w:kern w:val="0"/>
          <w:sz w:val="32"/>
          <w:szCs w:val="32"/>
          <w:lang w:bidi="ar"/>
        </w:rPr>
      </w:pPr>
      <w:r>
        <w:rPr>
          <w:rFonts w:hint="eastAsia" w:ascii="黑体" w:hAnsi="黑体" w:eastAsia="黑体" w:cs="黑体"/>
          <w:color w:val="000000"/>
          <w:kern w:val="0"/>
          <w:sz w:val="32"/>
          <w:szCs w:val="32"/>
          <w:lang w:bidi="ar"/>
        </w:rPr>
        <w:t>第二十条</w:t>
      </w:r>
      <w:r>
        <w:rPr>
          <w:rFonts w:hint="eastAsia" w:ascii="仿宋_GB2312" w:hAnsi="仿宋_GB2312" w:eastAsia="仿宋_GB2312" w:cs="仿宋_GB2312"/>
          <w:color w:val="000000"/>
          <w:kern w:val="0"/>
          <w:sz w:val="32"/>
          <w:szCs w:val="32"/>
          <w:lang w:bidi="ar"/>
        </w:rPr>
        <w:t xml:space="preserve"> 本办法由省工业和信息化厅负责解释。</w:t>
      </w:r>
    </w:p>
    <w:p>
      <w:pPr>
        <w:pStyle w:val="2"/>
        <w:spacing w:line="600" w:lineRule="exact"/>
        <w:rPr>
          <w:rFonts w:ascii="仿宋_GB2312" w:hAnsi="仿宋_GB2312" w:eastAsia="仿宋_GB2312" w:cs="仿宋_GB2312"/>
          <w:color w:val="000000"/>
          <w:kern w:val="0"/>
          <w:sz w:val="32"/>
          <w:szCs w:val="32"/>
          <w:lang w:bidi="ar"/>
        </w:rPr>
      </w:pPr>
    </w:p>
    <w:p>
      <w:pPr>
        <w:widowControl/>
        <w:spacing w:line="600" w:lineRule="exact"/>
        <w:ind w:firstLine="640" w:firstLineChars="200"/>
        <w:textAlignment w:val="center"/>
        <w:rPr>
          <w:rFonts w:hint="eastAsia" w:eastAsia="仿宋_GB2312"/>
          <w:lang w:eastAsia="zh-CN"/>
        </w:rPr>
        <w:sectPr>
          <w:footerReference r:id="rId3" w:type="default"/>
          <w:pgSz w:w="11906" w:h="16838"/>
          <w:pgMar w:top="1440" w:right="1803" w:bottom="1440" w:left="1803" w:header="851" w:footer="992" w:gutter="0"/>
          <w:cols w:space="0" w:num="1"/>
          <w:docGrid w:type="lines" w:linePitch="319" w:charSpace="0"/>
        </w:sectPr>
      </w:pPr>
      <w:r>
        <w:rPr>
          <w:rFonts w:hint="eastAsia" w:ascii="仿宋_GB2312" w:hAnsi="仿宋_GB2312" w:eastAsia="仿宋_GB2312" w:cs="仿宋_GB2312"/>
          <w:color w:val="000000"/>
          <w:kern w:val="0"/>
          <w:sz w:val="32"/>
          <w:szCs w:val="32"/>
          <w:lang w:bidi="ar"/>
        </w:rPr>
        <w:t>附件：</w:t>
      </w:r>
      <w:r>
        <w:rPr>
          <w:rFonts w:hint="eastAsia" w:ascii="仿宋_GB2312" w:hAnsi="仿宋_GB2312" w:eastAsia="仿宋_GB2312" w:cs="仿宋_GB2312"/>
          <w:color w:val="000000"/>
          <w:kern w:val="0"/>
          <w:sz w:val="32"/>
          <w:szCs w:val="32"/>
          <w:lang w:val="en-US" w:eastAsia="zh-CN" w:bidi="ar"/>
        </w:rPr>
        <w:t>***公司</w:t>
      </w:r>
      <w:r>
        <w:rPr>
          <w:rFonts w:hint="eastAsia" w:ascii="仿宋_GB2312" w:hAnsi="仿宋_GB2312" w:eastAsia="仿宋_GB2312" w:cs="仿宋_GB2312"/>
          <w:color w:val="000000"/>
          <w:kern w:val="0"/>
          <w:sz w:val="32"/>
          <w:szCs w:val="32"/>
          <w:lang w:bidi="ar"/>
        </w:rPr>
        <w:t>水泥粉磨建设项目产能置换方案</w:t>
      </w:r>
      <w:r>
        <w:rPr>
          <w:rFonts w:hint="eastAsia" w:ascii="仿宋_GB2312" w:hAnsi="仿宋_GB2312" w:eastAsia="仿宋_GB2312" w:cs="仿宋_GB2312"/>
          <w:sz w:val="32"/>
          <w:szCs w:val="32"/>
          <w:lang w:eastAsia="zh-CN"/>
        </w:rPr>
        <w:t>（式样）</w:t>
      </w:r>
    </w:p>
    <w:p>
      <w:pPr>
        <w:spacing w:line="560" w:lineRule="exact"/>
        <w:rPr>
          <w:rFonts w:ascii="仿宋_GB2312" w:hAnsi="仿宋_GB2312" w:eastAsia="仿宋_GB2312" w:cs="仿宋_GB2312"/>
          <w:color w:val="000000"/>
          <w:kern w:val="0"/>
          <w:sz w:val="32"/>
          <w:szCs w:val="32"/>
          <w:lang w:bidi="ar"/>
        </w:rPr>
      </w:pPr>
      <w:r>
        <w:rPr>
          <w:rFonts w:hint="eastAsia" w:ascii="方正黑体_GBK" w:hAnsi="方正黑体_GBK" w:eastAsia="方正黑体_GBK" w:cs="方正黑体_GBK"/>
          <w:sz w:val="32"/>
          <w:szCs w:val="32"/>
          <w:lang w:bidi="ar"/>
        </w:rPr>
        <w:t>附件</w:t>
      </w:r>
      <w:r>
        <w:rPr>
          <w:rFonts w:hint="eastAsia" w:ascii="仿宋_GB2312" w:hAnsi="仿宋_GB2312" w:eastAsia="仿宋_GB2312" w:cs="仿宋_GB2312"/>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val="en-US" w:eastAsia="zh-CN" w:bidi="ar"/>
        </w:rPr>
        <w:t>***</w:t>
      </w:r>
      <w:r>
        <w:rPr>
          <w:rFonts w:hint="eastAsia" w:ascii="方正小标宋简体" w:hAnsi="方正小标宋简体" w:eastAsia="方正小标宋简体" w:cs="方正小标宋简体"/>
          <w:color w:val="000000"/>
          <w:kern w:val="0"/>
          <w:sz w:val="44"/>
          <w:szCs w:val="44"/>
          <w:lang w:bidi="ar"/>
        </w:rPr>
        <w:t>公司水泥粉磨建设项目产能置换方案</w:t>
      </w:r>
    </w:p>
    <w:p>
      <w:pPr>
        <w:pStyle w:val="2"/>
        <w:keepNext w:val="0"/>
        <w:keepLines w:val="0"/>
        <w:pageBreakBefore w:val="0"/>
        <w:kinsoku/>
        <w:wordWrap/>
        <w:overflowPunct/>
        <w:topLinePunct w:val="0"/>
        <w:autoSpaceDE/>
        <w:autoSpaceDN/>
        <w:bidi w:val="0"/>
        <w:adjustRightInd/>
        <w:snapToGrid/>
        <w:spacing w:after="0"/>
        <w:jc w:val="center"/>
        <w:rPr>
          <w:rFonts w:hint="eastAsia" w:ascii="楷体_GB2312" w:hAnsi="楷体_GB2312" w:eastAsia="楷体_GB2312" w:cs="楷体_GB2312"/>
          <w:sz w:val="32"/>
          <w:szCs w:val="32"/>
          <w:lang w:eastAsia="zh-CN"/>
        </w:rPr>
      </w:pPr>
      <w:r>
        <w:rPr>
          <w:rFonts w:hint="eastAsia" w:ascii="楷体_GB2312" w:hAnsi="楷体_GB2312" w:eastAsia="楷体_GB2312" w:cs="楷体_GB2312"/>
          <w:color w:val="000000"/>
          <w:kern w:val="0"/>
          <w:sz w:val="32"/>
          <w:szCs w:val="32"/>
          <w:lang w:eastAsia="zh-CN" w:bidi="ar"/>
        </w:rPr>
        <w:t>（式样）</w:t>
      </w:r>
    </w:p>
    <w:tbl>
      <w:tblPr>
        <w:tblStyle w:val="8"/>
        <w:tblpPr w:leftFromText="180" w:rightFromText="180" w:vertAnchor="text" w:horzAnchor="page" w:tblpX="1582" w:tblpY="274"/>
        <w:tblOverlap w:val="never"/>
        <w:tblW w:w="13530" w:type="dxa"/>
        <w:tblInd w:w="0" w:type="dxa"/>
        <w:tblLayout w:type="fixed"/>
        <w:tblCellMar>
          <w:top w:w="0" w:type="dxa"/>
          <w:left w:w="108" w:type="dxa"/>
          <w:bottom w:w="0" w:type="dxa"/>
          <w:right w:w="108" w:type="dxa"/>
        </w:tblCellMar>
      </w:tblPr>
      <w:tblGrid>
        <w:gridCol w:w="660"/>
        <w:gridCol w:w="1805"/>
        <w:gridCol w:w="2312"/>
        <w:gridCol w:w="1875"/>
        <w:gridCol w:w="1950"/>
        <w:gridCol w:w="2250"/>
        <w:gridCol w:w="2678"/>
      </w:tblGrid>
      <w:tr>
        <w:tblPrEx>
          <w:tblCellMar>
            <w:top w:w="0" w:type="dxa"/>
            <w:left w:w="108" w:type="dxa"/>
            <w:bottom w:w="0" w:type="dxa"/>
            <w:right w:w="108" w:type="dxa"/>
          </w:tblCellMar>
        </w:tblPrEx>
        <w:trPr>
          <w:trHeight w:val="323" w:hRule="atLeast"/>
        </w:trPr>
        <w:tc>
          <w:tcPr>
            <w:tcW w:w="13530" w:type="dxa"/>
            <w:gridSpan w:val="7"/>
            <w:tcBorders>
              <w:top w:val="single" w:color="474747" w:sz="8" w:space="0"/>
              <w:left w:val="single" w:color="474747"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建设项目情况</w:t>
            </w:r>
          </w:p>
        </w:tc>
      </w:tr>
      <w:tr>
        <w:tblPrEx>
          <w:tblCellMar>
            <w:top w:w="0" w:type="dxa"/>
            <w:left w:w="108" w:type="dxa"/>
            <w:bottom w:w="0" w:type="dxa"/>
            <w:right w:w="108" w:type="dxa"/>
          </w:tblCellMar>
        </w:tblPrEx>
        <w:trPr>
          <w:trHeight w:val="293" w:hRule="atLeast"/>
        </w:trPr>
        <w:tc>
          <w:tcPr>
            <w:tcW w:w="4777" w:type="dxa"/>
            <w:gridSpan w:val="3"/>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企业名称</w:t>
            </w:r>
          </w:p>
        </w:tc>
        <w:tc>
          <w:tcPr>
            <w:tcW w:w="6075" w:type="dxa"/>
            <w:gridSpan w:val="3"/>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项目名称</w:t>
            </w: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建设地点</w:t>
            </w:r>
          </w:p>
        </w:tc>
      </w:tr>
      <w:tr>
        <w:tblPrEx>
          <w:tblCellMar>
            <w:top w:w="0" w:type="dxa"/>
            <w:left w:w="108" w:type="dxa"/>
            <w:bottom w:w="0" w:type="dxa"/>
            <w:right w:w="108" w:type="dxa"/>
          </w:tblCellMar>
        </w:tblPrEx>
        <w:trPr>
          <w:trHeight w:val="170" w:hRule="atLeast"/>
        </w:trPr>
        <w:tc>
          <w:tcPr>
            <w:tcW w:w="4777" w:type="dxa"/>
            <w:gridSpan w:val="3"/>
            <w:tcBorders>
              <w:top w:val="single" w:color="888E93" w:sz="8" w:space="0"/>
              <w:left w:val="single" w:color="474747"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6075" w:type="dxa"/>
            <w:gridSpan w:val="3"/>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spacing w:line="400" w:lineRule="exact"/>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662" w:hRule="atLeast"/>
        </w:trPr>
        <w:tc>
          <w:tcPr>
            <w:tcW w:w="2465" w:type="dxa"/>
            <w:gridSpan w:val="2"/>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拟建主体设备（生产线）名称、规格型号及数量</w:t>
            </w:r>
          </w:p>
        </w:tc>
        <w:tc>
          <w:tcPr>
            <w:tcW w:w="2312" w:type="dxa"/>
            <w:tcBorders>
              <w:top w:val="single" w:color="888E93" w:sz="8" w:space="0"/>
              <w:left w:val="single" w:color="474747"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预粉磨主电动机额定功率kw（单机功率*数量）</w:t>
            </w:r>
          </w:p>
        </w:tc>
        <w:tc>
          <w:tcPr>
            <w:tcW w:w="1875"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kern w:val="0"/>
                <w:sz w:val="16"/>
                <w:szCs w:val="16"/>
                <w:lang w:bidi="ar"/>
              </w:rPr>
              <w:t>核定产</w:t>
            </w:r>
            <w:r>
              <w:rPr>
                <w:rFonts w:hint="eastAsia" w:ascii="宋体" w:hAnsi="宋体" w:eastAsia="宋体" w:cs="宋体"/>
                <w:color w:val="000000"/>
                <w:kern w:val="0"/>
                <w:sz w:val="16"/>
                <w:szCs w:val="16"/>
                <w:lang w:bidi="ar"/>
              </w:rPr>
              <w:t>能（10</w:t>
            </w:r>
            <w:r>
              <w:rPr>
                <w:rFonts w:hint="eastAsia" w:ascii="宋体" w:hAnsi="宋体" w:eastAsia="宋体" w:cs="宋体"/>
                <w:color w:val="000000"/>
                <w:kern w:val="0"/>
                <w:sz w:val="16"/>
                <w:szCs w:val="16"/>
                <w:vertAlign w:val="superscript"/>
                <w:lang w:bidi="ar"/>
              </w:rPr>
              <w:t>4</w:t>
            </w:r>
            <w:r>
              <w:rPr>
                <w:rFonts w:hint="eastAsia" w:ascii="宋体" w:hAnsi="宋体" w:eastAsia="宋体" w:cs="宋体"/>
                <w:color w:val="000000"/>
                <w:kern w:val="0"/>
                <w:sz w:val="16"/>
                <w:szCs w:val="16"/>
                <w:lang w:bidi="ar"/>
              </w:rPr>
              <w:t>t/a）</w:t>
            </w:r>
          </w:p>
        </w:tc>
        <w:tc>
          <w:tcPr>
            <w:tcW w:w="19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置换指标产能（10</w:t>
            </w:r>
            <w:r>
              <w:rPr>
                <w:rFonts w:hint="eastAsia" w:ascii="宋体" w:hAnsi="宋体" w:eastAsia="宋体" w:cs="宋体"/>
                <w:color w:val="000000"/>
                <w:kern w:val="0"/>
                <w:sz w:val="16"/>
                <w:szCs w:val="16"/>
                <w:vertAlign w:val="superscript"/>
                <w:lang w:bidi="ar"/>
              </w:rPr>
              <w:t>4</w:t>
            </w:r>
            <w:r>
              <w:rPr>
                <w:rFonts w:hint="eastAsia" w:ascii="宋体" w:hAnsi="宋体" w:eastAsia="宋体" w:cs="宋体"/>
                <w:color w:val="000000"/>
                <w:kern w:val="0"/>
                <w:sz w:val="16"/>
                <w:szCs w:val="16"/>
                <w:lang w:bidi="ar"/>
              </w:rPr>
              <w:t>t/a）</w:t>
            </w:r>
          </w:p>
        </w:tc>
        <w:tc>
          <w:tcPr>
            <w:tcW w:w="22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计划投产时间</w:t>
            </w: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置换比例</w:t>
            </w:r>
          </w:p>
        </w:tc>
      </w:tr>
      <w:tr>
        <w:tblPrEx>
          <w:tblCellMar>
            <w:top w:w="0" w:type="dxa"/>
            <w:left w:w="108" w:type="dxa"/>
            <w:bottom w:w="0" w:type="dxa"/>
            <w:right w:w="108" w:type="dxa"/>
          </w:tblCellMar>
        </w:tblPrEx>
        <w:trPr>
          <w:trHeight w:val="283" w:hRule="atLeast"/>
        </w:trPr>
        <w:tc>
          <w:tcPr>
            <w:tcW w:w="2465" w:type="dxa"/>
            <w:gridSpan w:val="2"/>
            <w:tcBorders>
              <w:top w:val="single" w:color="888E93" w:sz="8" w:space="0"/>
              <w:left w:val="single" w:color="474747"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312" w:type="dxa"/>
            <w:tcBorders>
              <w:top w:val="single" w:color="888E93" w:sz="8" w:space="0"/>
              <w:left w:val="single" w:color="474747"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1875"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19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2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spacing w:line="400" w:lineRule="exact"/>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283" w:hRule="atLeast"/>
        </w:trPr>
        <w:tc>
          <w:tcPr>
            <w:tcW w:w="13530" w:type="dxa"/>
            <w:gridSpan w:val="7"/>
            <w:tcBorders>
              <w:top w:val="single" w:color="888E93" w:sz="8" w:space="0"/>
              <w:left w:val="single" w:color="474747"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lang w:bidi="ar"/>
              </w:rPr>
              <w:t>出让产能情况</w:t>
            </w:r>
          </w:p>
        </w:tc>
      </w:tr>
      <w:tr>
        <w:tblPrEx>
          <w:tblCellMar>
            <w:top w:w="0" w:type="dxa"/>
            <w:left w:w="108" w:type="dxa"/>
            <w:bottom w:w="0" w:type="dxa"/>
            <w:right w:w="108" w:type="dxa"/>
          </w:tblCellMar>
        </w:tblPrEx>
        <w:trPr>
          <w:trHeight w:val="500" w:hRule="atLeast"/>
        </w:trPr>
        <w:tc>
          <w:tcPr>
            <w:tcW w:w="660" w:type="dxa"/>
            <w:vMerge w:val="restart"/>
            <w:tcBorders>
              <w:top w:val="single" w:color="888E93" w:sz="8" w:space="0"/>
              <w:left w:val="single" w:color="474747"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项目1</w:t>
            </w:r>
          </w:p>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p>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w:t>
            </w:r>
          </w:p>
        </w:tc>
        <w:tc>
          <w:tcPr>
            <w:tcW w:w="4117" w:type="dxa"/>
            <w:gridSpan w:val="2"/>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企业名称</w:t>
            </w:r>
          </w:p>
        </w:tc>
        <w:tc>
          <w:tcPr>
            <w:tcW w:w="1875"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项目地址</w:t>
            </w:r>
          </w:p>
        </w:tc>
        <w:tc>
          <w:tcPr>
            <w:tcW w:w="19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统一社会信用代码</w:t>
            </w:r>
          </w:p>
        </w:tc>
        <w:tc>
          <w:tcPr>
            <w:tcW w:w="22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备案或核准文件</w:t>
            </w: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生产许可证号（有效期）</w:t>
            </w:r>
          </w:p>
        </w:tc>
      </w:tr>
      <w:tr>
        <w:tblPrEx>
          <w:tblCellMar>
            <w:top w:w="0" w:type="dxa"/>
            <w:left w:w="108" w:type="dxa"/>
            <w:bottom w:w="0" w:type="dxa"/>
            <w:right w:w="108" w:type="dxa"/>
          </w:tblCellMar>
        </w:tblPrEx>
        <w:trPr>
          <w:trHeight w:val="283" w:hRule="atLeast"/>
        </w:trPr>
        <w:tc>
          <w:tcPr>
            <w:tcW w:w="660" w:type="dxa"/>
            <w:vMerge w:val="continue"/>
            <w:tcBorders>
              <w:left w:val="single" w:color="474747"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p>
        </w:tc>
        <w:tc>
          <w:tcPr>
            <w:tcW w:w="4117" w:type="dxa"/>
            <w:gridSpan w:val="2"/>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1875"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19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2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spacing w:line="400" w:lineRule="exact"/>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283" w:hRule="atLeast"/>
        </w:trPr>
        <w:tc>
          <w:tcPr>
            <w:tcW w:w="660" w:type="dxa"/>
            <w:vMerge w:val="continue"/>
            <w:tcBorders>
              <w:left w:val="single" w:color="474747" w:sz="8" w:space="0"/>
              <w:right w:val="single" w:color="888E93" w:sz="8" w:space="0"/>
            </w:tcBorders>
            <w:shd w:val="clear" w:color="auto" w:fill="auto"/>
            <w:noWrap/>
            <w:vAlign w:val="center"/>
          </w:tcPr>
          <w:p>
            <w:pPr>
              <w:spacing w:line="400" w:lineRule="exact"/>
              <w:jc w:val="center"/>
              <w:rPr>
                <w:rFonts w:ascii="宋体" w:hAnsi="宋体" w:eastAsia="宋体" w:cs="宋体"/>
                <w:color w:val="000000"/>
                <w:sz w:val="16"/>
                <w:szCs w:val="16"/>
              </w:rPr>
            </w:pPr>
          </w:p>
        </w:tc>
        <w:tc>
          <w:tcPr>
            <w:tcW w:w="1805"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主体设备（生产线）名称、规格型号及数量</w:t>
            </w:r>
          </w:p>
        </w:tc>
        <w:tc>
          <w:tcPr>
            <w:tcW w:w="2312"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kern w:val="0"/>
                <w:sz w:val="16"/>
                <w:szCs w:val="16"/>
                <w:lang w:bidi="ar"/>
              </w:rPr>
            </w:pPr>
            <w:r>
              <w:rPr>
                <w:rFonts w:hint="eastAsia" w:ascii="宋体" w:hAnsi="宋体" w:eastAsia="宋体" w:cs="宋体"/>
                <w:color w:val="000000"/>
                <w:kern w:val="0"/>
                <w:sz w:val="16"/>
                <w:szCs w:val="16"/>
                <w:lang w:bidi="ar"/>
              </w:rPr>
              <w:t>预粉磨主电动机额定功率kw（单机功率*数量）</w:t>
            </w:r>
          </w:p>
        </w:tc>
        <w:tc>
          <w:tcPr>
            <w:tcW w:w="1875" w:type="dxa"/>
            <w:tcBorders>
              <w:top w:val="single" w:color="888E93" w:sz="8" w:space="0"/>
              <w:left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备案或核准文件产能（10</w:t>
            </w:r>
            <w:r>
              <w:rPr>
                <w:rFonts w:hint="eastAsia" w:ascii="宋体" w:hAnsi="宋体" w:eastAsia="宋体" w:cs="宋体"/>
                <w:color w:val="000000"/>
                <w:kern w:val="0"/>
                <w:sz w:val="16"/>
                <w:szCs w:val="16"/>
                <w:vertAlign w:val="superscript"/>
                <w:lang w:bidi="ar"/>
              </w:rPr>
              <w:t>4</w:t>
            </w:r>
            <w:r>
              <w:rPr>
                <w:rFonts w:hint="eastAsia" w:ascii="宋体" w:hAnsi="宋体" w:eastAsia="宋体" w:cs="宋体"/>
                <w:color w:val="000000"/>
                <w:kern w:val="0"/>
                <w:sz w:val="16"/>
                <w:szCs w:val="16"/>
                <w:lang w:bidi="ar"/>
              </w:rPr>
              <w:t>t/a）</w:t>
            </w:r>
          </w:p>
        </w:tc>
        <w:tc>
          <w:tcPr>
            <w:tcW w:w="19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kern w:val="0"/>
                <w:sz w:val="16"/>
                <w:szCs w:val="16"/>
                <w:lang w:bidi="ar"/>
              </w:rPr>
              <w:t>环评文件</w:t>
            </w:r>
            <w:r>
              <w:rPr>
                <w:rFonts w:hint="eastAsia" w:ascii="宋体" w:hAnsi="宋体" w:eastAsia="宋体" w:cs="宋体"/>
                <w:color w:val="000000"/>
                <w:kern w:val="0"/>
                <w:sz w:val="16"/>
                <w:szCs w:val="16"/>
                <w:lang w:bidi="ar"/>
              </w:rPr>
              <w:t>产能（10</w:t>
            </w:r>
            <w:r>
              <w:rPr>
                <w:rFonts w:hint="eastAsia" w:ascii="宋体" w:hAnsi="宋体" w:eastAsia="宋体" w:cs="宋体"/>
                <w:color w:val="000000"/>
                <w:kern w:val="0"/>
                <w:sz w:val="16"/>
                <w:szCs w:val="16"/>
                <w:vertAlign w:val="superscript"/>
                <w:lang w:bidi="ar"/>
              </w:rPr>
              <w:t>4</w:t>
            </w:r>
            <w:r>
              <w:rPr>
                <w:rFonts w:hint="eastAsia" w:ascii="宋体" w:hAnsi="宋体" w:eastAsia="宋体" w:cs="宋体"/>
                <w:color w:val="000000"/>
                <w:kern w:val="0"/>
                <w:sz w:val="16"/>
                <w:szCs w:val="16"/>
                <w:lang w:bidi="ar"/>
              </w:rPr>
              <w:t>t/a）</w:t>
            </w:r>
          </w:p>
        </w:tc>
        <w:tc>
          <w:tcPr>
            <w:tcW w:w="22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核定产能（10</w:t>
            </w:r>
            <w:r>
              <w:rPr>
                <w:rFonts w:hint="eastAsia" w:ascii="宋体" w:hAnsi="宋体" w:eastAsia="宋体" w:cs="宋体"/>
                <w:color w:val="000000"/>
                <w:kern w:val="0"/>
                <w:sz w:val="16"/>
                <w:szCs w:val="16"/>
                <w:vertAlign w:val="superscript"/>
                <w:lang w:bidi="ar"/>
              </w:rPr>
              <w:t>4</w:t>
            </w:r>
            <w:r>
              <w:rPr>
                <w:rFonts w:hint="eastAsia" w:ascii="宋体" w:hAnsi="宋体" w:eastAsia="宋体" w:cs="宋体"/>
                <w:color w:val="000000"/>
                <w:kern w:val="0"/>
                <w:sz w:val="16"/>
                <w:szCs w:val="16"/>
                <w:lang w:bidi="ar"/>
              </w:rPr>
              <w:t>t/a）</w:t>
            </w: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用于本项目置换产能（10</w:t>
            </w:r>
            <w:r>
              <w:rPr>
                <w:rFonts w:hint="eastAsia" w:ascii="宋体" w:hAnsi="宋体" w:eastAsia="宋体" w:cs="宋体"/>
                <w:color w:val="000000"/>
                <w:kern w:val="0"/>
                <w:sz w:val="16"/>
                <w:szCs w:val="16"/>
                <w:vertAlign w:val="superscript"/>
                <w:lang w:bidi="ar"/>
              </w:rPr>
              <w:t>4</w:t>
            </w:r>
            <w:r>
              <w:rPr>
                <w:rFonts w:hint="eastAsia" w:ascii="宋体" w:hAnsi="宋体" w:eastAsia="宋体" w:cs="宋体"/>
                <w:color w:val="000000"/>
                <w:kern w:val="0"/>
                <w:sz w:val="16"/>
                <w:szCs w:val="16"/>
                <w:lang w:bidi="ar"/>
              </w:rPr>
              <w:t>t/a）</w:t>
            </w:r>
          </w:p>
        </w:tc>
      </w:tr>
      <w:tr>
        <w:tblPrEx>
          <w:tblCellMar>
            <w:top w:w="0" w:type="dxa"/>
            <w:left w:w="108" w:type="dxa"/>
            <w:bottom w:w="0" w:type="dxa"/>
            <w:right w:w="108" w:type="dxa"/>
          </w:tblCellMar>
        </w:tblPrEx>
        <w:trPr>
          <w:trHeight w:val="283" w:hRule="atLeast"/>
        </w:trPr>
        <w:tc>
          <w:tcPr>
            <w:tcW w:w="660" w:type="dxa"/>
            <w:vMerge w:val="continue"/>
            <w:tcBorders>
              <w:left w:val="single" w:color="474747" w:sz="8" w:space="0"/>
              <w:right w:val="single" w:color="888E93" w:sz="8" w:space="0"/>
            </w:tcBorders>
            <w:shd w:val="clear" w:color="auto" w:fill="auto"/>
            <w:noWrap/>
            <w:vAlign w:val="center"/>
          </w:tcPr>
          <w:p>
            <w:pPr>
              <w:spacing w:line="400" w:lineRule="exact"/>
              <w:jc w:val="center"/>
              <w:rPr>
                <w:rFonts w:ascii="宋体" w:hAnsi="宋体" w:eastAsia="宋体" w:cs="宋体"/>
                <w:color w:val="000000"/>
                <w:sz w:val="16"/>
                <w:szCs w:val="16"/>
              </w:rPr>
            </w:pPr>
          </w:p>
        </w:tc>
        <w:tc>
          <w:tcPr>
            <w:tcW w:w="1805"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312"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1875"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19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250" w:type="dxa"/>
            <w:tcBorders>
              <w:top w:val="single" w:color="888E93" w:sz="8" w:space="0"/>
              <w:left w:val="single" w:color="888E93" w:sz="8" w:space="0"/>
              <w:bottom w:val="single" w:color="888E93" w:sz="8" w:space="0"/>
              <w:right w:val="single" w:color="888E93" w:sz="8" w:space="0"/>
            </w:tcBorders>
            <w:shd w:val="clear" w:color="auto" w:fill="FFFFFF"/>
            <w:vAlign w:val="center"/>
          </w:tcPr>
          <w:p>
            <w:pPr>
              <w:spacing w:line="400" w:lineRule="exact"/>
              <w:jc w:val="center"/>
              <w:rPr>
                <w:rFonts w:ascii="宋体" w:hAnsi="宋体" w:eastAsia="宋体" w:cs="宋体"/>
                <w:color w:val="000000"/>
                <w:sz w:val="16"/>
                <w:szCs w:val="16"/>
              </w:rPr>
            </w:pP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spacing w:line="400" w:lineRule="exact"/>
              <w:jc w:val="center"/>
              <w:rPr>
                <w:rFonts w:ascii="宋体" w:hAnsi="宋体" w:eastAsia="宋体" w:cs="宋体"/>
                <w:color w:val="000000"/>
                <w:sz w:val="16"/>
                <w:szCs w:val="16"/>
              </w:rPr>
            </w:pPr>
          </w:p>
        </w:tc>
      </w:tr>
      <w:tr>
        <w:tblPrEx>
          <w:tblCellMar>
            <w:top w:w="0" w:type="dxa"/>
            <w:left w:w="108" w:type="dxa"/>
            <w:bottom w:w="0" w:type="dxa"/>
            <w:right w:w="108" w:type="dxa"/>
          </w:tblCellMar>
        </w:tblPrEx>
        <w:trPr>
          <w:trHeight w:val="283" w:hRule="atLeast"/>
        </w:trPr>
        <w:tc>
          <w:tcPr>
            <w:tcW w:w="660" w:type="dxa"/>
            <w:vMerge w:val="continue"/>
            <w:tcBorders>
              <w:left w:val="single" w:color="474747" w:sz="8" w:space="0"/>
              <w:right w:val="single" w:color="888E93" w:sz="8" w:space="0"/>
            </w:tcBorders>
            <w:shd w:val="clear" w:color="auto" w:fill="auto"/>
            <w:noWrap/>
            <w:vAlign w:val="center"/>
          </w:tcPr>
          <w:p>
            <w:pPr>
              <w:spacing w:line="400" w:lineRule="exact"/>
              <w:jc w:val="center"/>
              <w:rPr>
                <w:rFonts w:ascii="宋体" w:hAnsi="宋体" w:eastAsia="宋体" w:cs="宋体"/>
                <w:color w:val="000000"/>
                <w:sz w:val="16"/>
                <w:szCs w:val="16"/>
              </w:rPr>
            </w:pPr>
          </w:p>
        </w:tc>
        <w:tc>
          <w:tcPr>
            <w:tcW w:w="4117" w:type="dxa"/>
            <w:gridSpan w:val="2"/>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是否享受奖补资金和政策支持</w:t>
            </w:r>
          </w:p>
        </w:tc>
        <w:tc>
          <w:tcPr>
            <w:tcW w:w="1875" w:type="dxa"/>
            <w:tcBorders>
              <w:top w:val="single" w:color="888E93" w:sz="8" w:space="0"/>
              <w:left w:val="single" w:color="888E93" w:sz="8" w:space="0"/>
              <w:bottom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产能指标是否重复使用</w:t>
            </w:r>
          </w:p>
        </w:tc>
        <w:tc>
          <w:tcPr>
            <w:tcW w:w="1950" w:type="dxa"/>
            <w:tcBorders>
              <w:top w:val="single" w:color="888E93" w:sz="8" w:space="0"/>
              <w:left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排污许可证号（有效期）</w:t>
            </w:r>
          </w:p>
        </w:tc>
        <w:tc>
          <w:tcPr>
            <w:tcW w:w="2250" w:type="dxa"/>
            <w:tcBorders>
              <w:top w:val="single" w:color="888E93" w:sz="8" w:space="0"/>
              <w:left w:val="single" w:color="888E93" w:sz="8" w:space="0"/>
              <w:right w:val="single" w:color="888E93"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关停时间(新线投产前)</w:t>
            </w:r>
          </w:p>
        </w:tc>
        <w:tc>
          <w:tcPr>
            <w:tcW w:w="2678" w:type="dxa"/>
            <w:tcBorders>
              <w:top w:val="single" w:color="888E93" w:sz="8" w:space="0"/>
              <w:left w:val="single" w:color="888E93" w:sz="8" w:space="0"/>
              <w:bottom w:val="single" w:color="888E93" w:sz="8" w:space="0"/>
              <w:right w:val="single" w:color="474747" w:sz="8" w:space="0"/>
            </w:tcBorders>
            <w:shd w:val="clear" w:color="auto" w:fill="FFFFFF"/>
            <w:vAlign w:val="center"/>
          </w:tcPr>
          <w:p>
            <w:pPr>
              <w:widowControl/>
              <w:spacing w:line="40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lang w:bidi="ar"/>
              </w:rPr>
              <w:t>拆除退出时间（新线投产后一年）</w:t>
            </w:r>
          </w:p>
        </w:tc>
      </w:tr>
      <w:tr>
        <w:tblPrEx>
          <w:tblCellMar>
            <w:top w:w="0" w:type="dxa"/>
            <w:left w:w="108" w:type="dxa"/>
            <w:bottom w:w="0" w:type="dxa"/>
            <w:right w:w="108" w:type="dxa"/>
          </w:tblCellMar>
        </w:tblPrEx>
        <w:trPr>
          <w:trHeight w:val="283" w:hRule="atLeast"/>
        </w:trPr>
        <w:tc>
          <w:tcPr>
            <w:tcW w:w="660" w:type="dxa"/>
            <w:vMerge w:val="continue"/>
            <w:tcBorders>
              <w:left w:val="single" w:color="474747" w:sz="8" w:space="0"/>
              <w:bottom w:val="single" w:color="474747" w:sz="8" w:space="0"/>
              <w:right w:val="single" w:color="888E93" w:sz="8" w:space="0"/>
            </w:tcBorders>
            <w:shd w:val="clear" w:color="auto" w:fill="auto"/>
            <w:noWrap/>
            <w:vAlign w:val="center"/>
          </w:tcPr>
          <w:p>
            <w:pPr>
              <w:spacing w:line="400" w:lineRule="exact"/>
              <w:jc w:val="left"/>
              <w:rPr>
                <w:rFonts w:ascii="宋体" w:hAnsi="宋体" w:eastAsia="宋体" w:cs="宋体"/>
                <w:color w:val="000000"/>
                <w:sz w:val="16"/>
                <w:szCs w:val="16"/>
              </w:rPr>
            </w:pPr>
          </w:p>
        </w:tc>
        <w:tc>
          <w:tcPr>
            <w:tcW w:w="4117" w:type="dxa"/>
            <w:gridSpan w:val="2"/>
            <w:tcBorders>
              <w:left w:val="single" w:color="474747" w:sz="8" w:space="0"/>
              <w:bottom w:val="single" w:color="474747" w:sz="8" w:space="0"/>
              <w:right w:val="single" w:color="888E93" w:sz="8" w:space="0"/>
            </w:tcBorders>
            <w:shd w:val="clear" w:color="auto" w:fill="auto"/>
            <w:noWrap/>
            <w:vAlign w:val="center"/>
          </w:tcPr>
          <w:p>
            <w:pPr>
              <w:spacing w:line="400" w:lineRule="exact"/>
              <w:jc w:val="left"/>
              <w:rPr>
                <w:rFonts w:ascii="宋体" w:hAnsi="宋体" w:eastAsia="宋体" w:cs="宋体"/>
                <w:color w:val="000000"/>
                <w:sz w:val="16"/>
                <w:szCs w:val="16"/>
              </w:rPr>
            </w:pPr>
          </w:p>
        </w:tc>
        <w:tc>
          <w:tcPr>
            <w:tcW w:w="1875" w:type="dxa"/>
            <w:tcBorders>
              <w:top w:val="single" w:color="888E93" w:sz="8" w:space="0"/>
              <w:left w:val="single" w:color="888E93" w:sz="8" w:space="0"/>
              <w:bottom w:val="single" w:color="474747" w:sz="8" w:space="0"/>
              <w:right w:val="single" w:color="888E93" w:sz="8" w:space="0"/>
            </w:tcBorders>
            <w:shd w:val="clear" w:color="auto" w:fill="FFFFFF"/>
            <w:vAlign w:val="center"/>
          </w:tcPr>
          <w:p>
            <w:pPr>
              <w:spacing w:line="400" w:lineRule="exact"/>
              <w:jc w:val="left"/>
              <w:rPr>
                <w:rFonts w:ascii="宋体" w:hAnsi="宋体" w:eastAsia="宋体" w:cs="宋体"/>
                <w:color w:val="000000"/>
                <w:sz w:val="16"/>
                <w:szCs w:val="16"/>
              </w:rPr>
            </w:pPr>
          </w:p>
        </w:tc>
        <w:tc>
          <w:tcPr>
            <w:tcW w:w="1950" w:type="dxa"/>
            <w:tcBorders>
              <w:top w:val="single" w:color="888E93" w:sz="8" w:space="0"/>
              <w:left w:val="single" w:color="888E93" w:sz="8" w:space="0"/>
              <w:bottom w:val="single" w:color="474747" w:sz="8" w:space="0"/>
              <w:right w:val="single" w:color="888E93" w:sz="8" w:space="0"/>
            </w:tcBorders>
            <w:shd w:val="clear" w:color="auto" w:fill="FFFFFF"/>
            <w:vAlign w:val="center"/>
          </w:tcPr>
          <w:p>
            <w:pPr>
              <w:spacing w:line="400" w:lineRule="exact"/>
              <w:jc w:val="left"/>
              <w:rPr>
                <w:rFonts w:ascii="宋体" w:hAnsi="宋体" w:eastAsia="宋体" w:cs="宋体"/>
                <w:color w:val="000000"/>
                <w:sz w:val="16"/>
                <w:szCs w:val="16"/>
              </w:rPr>
            </w:pPr>
          </w:p>
        </w:tc>
        <w:tc>
          <w:tcPr>
            <w:tcW w:w="2250" w:type="dxa"/>
            <w:tcBorders>
              <w:top w:val="single" w:color="888E93" w:sz="8" w:space="0"/>
              <w:left w:val="single" w:color="888E93" w:sz="8" w:space="0"/>
              <w:bottom w:val="single" w:color="474747" w:sz="8" w:space="0"/>
              <w:right w:val="single" w:color="888E93" w:sz="8" w:space="0"/>
            </w:tcBorders>
            <w:shd w:val="clear" w:color="auto" w:fill="FFFFFF"/>
            <w:vAlign w:val="center"/>
          </w:tcPr>
          <w:p>
            <w:pPr>
              <w:spacing w:line="400" w:lineRule="exact"/>
              <w:jc w:val="left"/>
              <w:rPr>
                <w:rFonts w:ascii="宋体" w:hAnsi="宋体" w:eastAsia="宋体" w:cs="宋体"/>
                <w:color w:val="000000"/>
                <w:sz w:val="16"/>
                <w:szCs w:val="16"/>
              </w:rPr>
            </w:pPr>
          </w:p>
        </w:tc>
        <w:tc>
          <w:tcPr>
            <w:tcW w:w="2678" w:type="dxa"/>
            <w:tcBorders>
              <w:top w:val="single" w:color="888E93" w:sz="8" w:space="0"/>
              <w:left w:val="single" w:color="888E93" w:sz="8" w:space="0"/>
              <w:bottom w:val="single" w:color="474747" w:sz="8" w:space="0"/>
              <w:right w:val="single" w:color="474747" w:sz="8" w:space="0"/>
            </w:tcBorders>
            <w:shd w:val="clear" w:color="auto" w:fill="FFFFFF"/>
            <w:vAlign w:val="center"/>
          </w:tcPr>
          <w:p>
            <w:pPr>
              <w:spacing w:line="400" w:lineRule="exact"/>
              <w:jc w:val="left"/>
              <w:rPr>
                <w:rFonts w:ascii="宋体" w:hAnsi="宋体" w:eastAsia="宋体" w:cs="宋体"/>
                <w:color w:val="000000"/>
                <w:sz w:val="16"/>
                <w:szCs w:val="16"/>
              </w:rPr>
            </w:pPr>
          </w:p>
        </w:tc>
      </w:tr>
    </w:tbl>
    <w:p>
      <w:pPr>
        <w:spacing w:line="560" w:lineRule="exact"/>
        <w:rPr>
          <w:rFonts w:ascii="宋体" w:hAnsi="宋体" w:eastAsia="宋体" w:cs="宋体"/>
          <w:color w:val="3E3E3E"/>
          <w:sz w:val="28"/>
          <w:szCs w:val="28"/>
          <w:shd w:val="clear" w:color="auto" w:fill="FFFFFF"/>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ESI黑体-GB13000">
    <w:altName w:val="黑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70C85"/>
    <w:rsid w:val="00002448"/>
    <w:rsid w:val="00047437"/>
    <w:rsid w:val="00074ED8"/>
    <w:rsid w:val="00094887"/>
    <w:rsid w:val="000B28B6"/>
    <w:rsid w:val="000C21E4"/>
    <w:rsid w:val="000E174A"/>
    <w:rsid w:val="001017EB"/>
    <w:rsid w:val="00104FCB"/>
    <w:rsid w:val="001126AE"/>
    <w:rsid w:val="0012344C"/>
    <w:rsid w:val="00124474"/>
    <w:rsid w:val="00132DDC"/>
    <w:rsid w:val="001A013F"/>
    <w:rsid w:val="001A7E17"/>
    <w:rsid w:val="001D76A8"/>
    <w:rsid w:val="00250C54"/>
    <w:rsid w:val="00271C2F"/>
    <w:rsid w:val="002A28B5"/>
    <w:rsid w:val="002A5181"/>
    <w:rsid w:val="002B7490"/>
    <w:rsid w:val="002C7D82"/>
    <w:rsid w:val="002E6413"/>
    <w:rsid w:val="00315DB5"/>
    <w:rsid w:val="00346973"/>
    <w:rsid w:val="00380CA6"/>
    <w:rsid w:val="0038676D"/>
    <w:rsid w:val="00386AC6"/>
    <w:rsid w:val="003A2495"/>
    <w:rsid w:val="003D0BA6"/>
    <w:rsid w:val="00407F9F"/>
    <w:rsid w:val="00413AE9"/>
    <w:rsid w:val="00427883"/>
    <w:rsid w:val="00484337"/>
    <w:rsid w:val="004A2441"/>
    <w:rsid w:val="004E00C8"/>
    <w:rsid w:val="005132A5"/>
    <w:rsid w:val="0053721F"/>
    <w:rsid w:val="005806D4"/>
    <w:rsid w:val="00584647"/>
    <w:rsid w:val="005E28A4"/>
    <w:rsid w:val="0060120C"/>
    <w:rsid w:val="006410B9"/>
    <w:rsid w:val="00645B98"/>
    <w:rsid w:val="006861D3"/>
    <w:rsid w:val="006A14A6"/>
    <w:rsid w:val="006B6126"/>
    <w:rsid w:val="006D7EE1"/>
    <w:rsid w:val="007327A1"/>
    <w:rsid w:val="007361D8"/>
    <w:rsid w:val="00746A6A"/>
    <w:rsid w:val="007740FA"/>
    <w:rsid w:val="007C566C"/>
    <w:rsid w:val="007F3614"/>
    <w:rsid w:val="00817C51"/>
    <w:rsid w:val="00837389"/>
    <w:rsid w:val="00840A47"/>
    <w:rsid w:val="0085728B"/>
    <w:rsid w:val="008E0E11"/>
    <w:rsid w:val="008F435E"/>
    <w:rsid w:val="00927CCE"/>
    <w:rsid w:val="00967C2C"/>
    <w:rsid w:val="0097722B"/>
    <w:rsid w:val="00987260"/>
    <w:rsid w:val="00A2349F"/>
    <w:rsid w:val="00A93DAF"/>
    <w:rsid w:val="00AB209B"/>
    <w:rsid w:val="00B2379E"/>
    <w:rsid w:val="00B32F0F"/>
    <w:rsid w:val="00B50F73"/>
    <w:rsid w:val="00B55F4D"/>
    <w:rsid w:val="00B678FF"/>
    <w:rsid w:val="00B96D3B"/>
    <w:rsid w:val="00BD5690"/>
    <w:rsid w:val="00C1254E"/>
    <w:rsid w:val="00CC416F"/>
    <w:rsid w:val="00CD1971"/>
    <w:rsid w:val="00D66C35"/>
    <w:rsid w:val="00DA5C08"/>
    <w:rsid w:val="00DB776F"/>
    <w:rsid w:val="00E13200"/>
    <w:rsid w:val="00E5168B"/>
    <w:rsid w:val="00E52CB3"/>
    <w:rsid w:val="00E8493C"/>
    <w:rsid w:val="00EA1FED"/>
    <w:rsid w:val="00EC4C1D"/>
    <w:rsid w:val="00EC7E9F"/>
    <w:rsid w:val="00EF57B4"/>
    <w:rsid w:val="00F23D7E"/>
    <w:rsid w:val="00F429CE"/>
    <w:rsid w:val="00F47E29"/>
    <w:rsid w:val="00F834CD"/>
    <w:rsid w:val="00F93742"/>
    <w:rsid w:val="018A2655"/>
    <w:rsid w:val="01E97FAF"/>
    <w:rsid w:val="021B18FC"/>
    <w:rsid w:val="0238139F"/>
    <w:rsid w:val="02AB1412"/>
    <w:rsid w:val="02BF15A4"/>
    <w:rsid w:val="0300249B"/>
    <w:rsid w:val="034F14E8"/>
    <w:rsid w:val="03D53059"/>
    <w:rsid w:val="03DC0EA8"/>
    <w:rsid w:val="044E66F6"/>
    <w:rsid w:val="04754C8F"/>
    <w:rsid w:val="04784101"/>
    <w:rsid w:val="04A824F0"/>
    <w:rsid w:val="05222807"/>
    <w:rsid w:val="064955CE"/>
    <w:rsid w:val="064D0440"/>
    <w:rsid w:val="069D2C01"/>
    <w:rsid w:val="0707582C"/>
    <w:rsid w:val="07972B7B"/>
    <w:rsid w:val="08420188"/>
    <w:rsid w:val="086411F7"/>
    <w:rsid w:val="0880561C"/>
    <w:rsid w:val="088713CB"/>
    <w:rsid w:val="08B3503C"/>
    <w:rsid w:val="08BB67FB"/>
    <w:rsid w:val="08C401DE"/>
    <w:rsid w:val="0919426D"/>
    <w:rsid w:val="09374145"/>
    <w:rsid w:val="09556F00"/>
    <w:rsid w:val="09830B0D"/>
    <w:rsid w:val="09A371FF"/>
    <w:rsid w:val="09BF3AA1"/>
    <w:rsid w:val="0A0022B3"/>
    <w:rsid w:val="0A9735C2"/>
    <w:rsid w:val="0AA710EA"/>
    <w:rsid w:val="0AC204D0"/>
    <w:rsid w:val="0B204882"/>
    <w:rsid w:val="0B2300BD"/>
    <w:rsid w:val="0B495E98"/>
    <w:rsid w:val="0B5E54A2"/>
    <w:rsid w:val="0BA50031"/>
    <w:rsid w:val="0BCF42E2"/>
    <w:rsid w:val="0C2E22FB"/>
    <w:rsid w:val="0C5409B0"/>
    <w:rsid w:val="0CA03161"/>
    <w:rsid w:val="0CA65844"/>
    <w:rsid w:val="0CAA2E9C"/>
    <w:rsid w:val="0CBA6F79"/>
    <w:rsid w:val="0CD93608"/>
    <w:rsid w:val="0E5614CE"/>
    <w:rsid w:val="0E921FC8"/>
    <w:rsid w:val="0EF40271"/>
    <w:rsid w:val="0F073B9C"/>
    <w:rsid w:val="0F083AE6"/>
    <w:rsid w:val="0F1D37B6"/>
    <w:rsid w:val="0F3B1D33"/>
    <w:rsid w:val="0F5B7AE6"/>
    <w:rsid w:val="0F6E6F61"/>
    <w:rsid w:val="0F7576F4"/>
    <w:rsid w:val="0F7F4A2A"/>
    <w:rsid w:val="0FCC6087"/>
    <w:rsid w:val="100B7E91"/>
    <w:rsid w:val="10DB2AAB"/>
    <w:rsid w:val="10EE097F"/>
    <w:rsid w:val="118940D2"/>
    <w:rsid w:val="11F43233"/>
    <w:rsid w:val="12AB2A8F"/>
    <w:rsid w:val="12AC3E1B"/>
    <w:rsid w:val="12EC1680"/>
    <w:rsid w:val="134F1DF4"/>
    <w:rsid w:val="136F793E"/>
    <w:rsid w:val="13D92924"/>
    <w:rsid w:val="14343763"/>
    <w:rsid w:val="1452681F"/>
    <w:rsid w:val="152F7D87"/>
    <w:rsid w:val="156541BC"/>
    <w:rsid w:val="156E30E2"/>
    <w:rsid w:val="15B80AE4"/>
    <w:rsid w:val="15E703A3"/>
    <w:rsid w:val="165A7635"/>
    <w:rsid w:val="168B7758"/>
    <w:rsid w:val="168E5998"/>
    <w:rsid w:val="16A84189"/>
    <w:rsid w:val="16B76A8B"/>
    <w:rsid w:val="16DA0B96"/>
    <w:rsid w:val="1722748D"/>
    <w:rsid w:val="175B7835"/>
    <w:rsid w:val="178B71CC"/>
    <w:rsid w:val="178D45E8"/>
    <w:rsid w:val="17B113F7"/>
    <w:rsid w:val="18860A9F"/>
    <w:rsid w:val="18A62B17"/>
    <w:rsid w:val="18BB0647"/>
    <w:rsid w:val="190551EB"/>
    <w:rsid w:val="196627DF"/>
    <w:rsid w:val="19A101BB"/>
    <w:rsid w:val="19AF3A84"/>
    <w:rsid w:val="1A2957DE"/>
    <w:rsid w:val="1A4C3362"/>
    <w:rsid w:val="1B047C58"/>
    <w:rsid w:val="1B6968A6"/>
    <w:rsid w:val="1B8B0C3F"/>
    <w:rsid w:val="1BD955EC"/>
    <w:rsid w:val="1BE050F7"/>
    <w:rsid w:val="1C6E66BB"/>
    <w:rsid w:val="1C9176B6"/>
    <w:rsid w:val="1CB33CCA"/>
    <w:rsid w:val="1CCD2C3F"/>
    <w:rsid w:val="1CD27575"/>
    <w:rsid w:val="1CEB705F"/>
    <w:rsid w:val="1D073E4A"/>
    <w:rsid w:val="1D455525"/>
    <w:rsid w:val="1D4E7591"/>
    <w:rsid w:val="1D5A32F9"/>
    <w:rsid w:val="1D803F2F"/>
    <w:rsid w:val="1DAB2C9B"/>
    <w:rsid w:val="1E531748"/>
    <w:rsid w:val="1E57766B"/>
    <w:rsid w:val="1E6C50A8"/>
    <w:rsid w:val="1EC43C47"/>
    <w:rsid w:val="1EFF26D9"/>
    <w:rsid w:val="1F1579C5"/>
    <w:rsid w:val="1F213CFD"/>
    <w:rsid w:val="1F821104"/>
    <w:rsid w:val="1FA737AD"/>
    <w:rsid w:val="201E5A98"/>
    <w:rsid w:val="20286883"/>
    <w:rsid w:val="20FB51A6"/>
    <w:rsid w:val="213C3D6E"/>
    <w:rsid w:val="216C5054"/>
    <w:rsid w:val="21CA3F21"/>
    <w:rsid w:val="21EA1C0A"/>
    <w:rsid w:val="22DB179C"/>
    <w:rsid w:val="23845F84"/>
    <w:rsid w:val="23B2409E"/>
    <w:rsid w:val="23BF2D5B"/>
    <w:rsid w:val="23E2415A"/>
    <w:rsid w:val="23EA2B19"/>
    <w:rsid w:val="250C5DBA"/>
    <w:rsid w:val="254002A2"/>
    <w:rsid w:val="2674607E"/>
    <w:rsid w:val="27CB0DD5"/>
    <w:rsid w:val="27F57BE4"/>
    <w:rsid w:val="27FFE2DF"/>
    <w:rsid w:val="28C14C00"/>
    <w:rsid w:val="296A4CD1"/>
    <w:rsid w:val="2A2E72A4"/>
    <w:rsid w:val="2A4120ED"/>
    <w:rsid w:val="2A6161A2"/>
    <w:rsid w:val="2AB925CE"/>
    <w:rsid w:val="2B1339CE"/>
    <w:rsid w:val="2B1D43B8"/>
    <w:rsid w:val="2C1277D0"/>
    <w:rsid w:val="2C197225"/>
    <w:rsid w:val="2C5F1B90"/>
    <w:rsid w:val="2C952ED3"/>
    <w:rsid w:val="2E1C29F1"/>
    <w:rsid w:val="2EB7219D"/>
    <w:rsid w:val="2F127A35"/>
    <w:rsid w:val="2F96396E"/>
    <w:rsid w:val="2FD75D2C"/>
    <w:rsid w:val="2FDA0313"/>
    <w:rsid w:val="300313AA"/>
    <w:rsid w:val="301B60D7"/>
    <w:rsid w:val="30965314"/>
    <w:rsid w:val="30AC09D1"/>
    <w:rsid w:val="30DE20B5"/>
    <w:rsid w:val="30DF783E"/>
    <w:rsid w:val="30F9215F"/>
    <w:rsid w:val="310D31A3"/>
    <w:rsid w:val="3193551D"/>
    <w:rsid w:val="31B02023"/>
    <w:rsid w:val="31D94B5A"/>
    <w:rsid w:val="32054F19"/>
    <w:rsid w:val="32881B21"/>
    <w:rsid w:val="328E6B79"/>
    <w:rsid w:val="32DC1EF0"/>
    <w:rsid w:val="33632D6F"/>
    <w:rsid w:val="33823FB7"/>
    <w:rsid w:val="33B70764"/>
    <w:rsid w:val="34574BB1"/>
    <w:rsid w:val="34AD402B"/>
    <w:rsid w:val="34B567C4"/>
    <w:rsid w:val="352A6A5E"/>
    <w:rsid w:val="35367159"/>
    <w:rsid w:val="35C34329"/>
    <w:rsid w:val="35FC336D"/>
    <w:rsid w:val="36A15AB7"/>
    <w:rsid w:val="36A43D1D"/>
    <w:rsid w:val="36F52DA8"/>
    <w:rsid w:val="37620CF6"/>
    <w:rsid w:val="37E64C64"/>
    <w:rsid w:val="37E976F8"/>
    <w:rsid w:val="38222886"/>
    <w:rsid w:val="38A6253B"/>
    <w:rsid w:val="38B3190D"/>
    <w:rsid w:val="38F272F5"/>
    <w:rsid w:val="3902759A"/>
    <w:rsid w:val="393835F0"/>
    <w:rsid w:val="393E7234"/>
    <w:rsid w:val="39F54452"/>
    <w:rsid w:val="3A237FCB"/>
    <w:rsid w:val="3A370631"/>
    <w:rsid w:val="3A69745B"/>
    <w:rsid w:val="3AC757A4"/>
    <w:rsid w:val="3AD1585F"/>
    <w:rsid w:val="3AD26687"/>
    <w:rsid w:val="3ADA68C1"/>
    <w:rsid w:val="3B137898"/>
    <w:rsid w:val="3B3B1218"/>
    <w:rsid w:val="3B8A4635"/>
    <w:rsid w:val="3BB01A20"/>
    <w:rsid w:val="3BE34C8D"/>
    <w:rsid w:val="3C7C6E1C"/>
    <w:rsid w:val="3CFE039F"/>
    <w:rsid w:val="3D254FA6"/>
    <w:rsid w:val="3D5B351F"/>
    <w:rsid w:val="3D881FB0"/>
    <w:rsid w:val="3DC22E8A"/>
    <w:rsid w:val="3ED20D6D"/>
    <w:rsid w:val="3F367D8A"/>
    <w:rsid w:val="3F3E4E60"/>
    <w:rsid w:val="3F516429"/>
    <w:rsid w:val="3F7FA176"/>
    <w:rsid w:val="3FB90BFC"/>
    <w:rsid w:val="3FE632B0"/>
    <w:rsid w:val="404600C4"/>
    <w:rsid w:val="408C0575"/>
    <w:rsid w:val="40904C36"/>
    <w:rsid w:val="409A11C9"/>
    <w:rsid w:val="40A6645B"/>
    <w:rsid w:val="40B52FA4"/>
    <w:rsid w:val="40C80671"/>
    <w:rsid w:val="40DE0CDB"/>
    <w:rsid w:val="41222C87"/>
    <w:rsid w:val="41E313CD"/>
    <w:rsid w:val="42870C85"/>
    <w:rsid w:val="42C21114"/>
    <w:rsid w:val="42D6101D"/>
    <w:rsid w:val="42EA3FEE"/>
    <w:rsid w:val="431C326D"/>
    <w:rsid w:val="43426A0F"/>
    <w:rsid w:val="43C14BAE"/>
    <w:rsid w:val="43F57584"/>
    <w:rsid w:val="44964688"/>
    <w:rsid w:val="4528494B"/>
    <w:rsid w:val="4585076D"/>
    <w:rsid w:val="45A375EE"/>
    <w:rsid w:val="45BC638E"/>
    <w:rsid w:val="45C4331A"/>
    <w:rsid w:val="46060685"/>
    <w:rsid w:val="46A07515"/>
    <w:rsid w:val="46B837A5"/>
    <w:rsid w:val="47221F44"/>
    <w:rsid w:val="47BE5070"/>
    <w:rsid w:val="47CA599C"/>
    <w:rsid w:val="47E15BFB"/>
    <w:rsid w:val="47F86F43"/>
    <w:rsid w:val="481A7505"/>
    <w:rsid w:val="48737C90"/>
    <w:rsid w:val="489C7E31"/>
    <w:rsid w:val="49040E5A"/>
    <w:rsid w:val="490432FD"/>
    <w:rsid w:val="49363AED"/>
    <w:rsid w:val="495E6D91"/>
    <w:rsid w:val="49DC33C2"/>
    <w:rsid w:val="4A54416F"/>
    <w:rsid w:val="4AA7007D"/>
    <w:rsid w:val="4AD77680"/>
    <w:rsid w:val="4B522FE2"/>
    <w:rsid w:val="4B7C5803"/>
    <w:rsid w:val="4C363D01"/>
    <w:rsid w:val="4C546365"/>
    <w:rsid w:val="4CB33A70"/>
    <w:rsid w:val="4CFF1C8C"/>
    <w:rsid w:val="4D295886"/>
    <w:rsid w:val="4D3216BC"/>
    <w:rsid w:val="4D3B7D97"/>
    <w:rsid w:val="4D6233B4"/>
    <w:rsid w:val="4D834EB1"/>
    <w:rsid w:val="4D9170A8"/>
    <w:rsid w:val="4DBD5D45"/>
    <w:rsid w:val="4E747F3F"/>
    <w:rsid w:val="4F4C0C64"/>
    <w:rsid w:val="4FAF7B48"/>
    <w:rsid w:val="4FB01626"/>
    <w:rsid w:val="4FC25F30"/>
    <w:rsid w:val="4FF77255"/>
    <w:rsid w:val="5047492D"/>
    <w:rsid w:val="50601764"/>
    <w:rsid w:val="50BF63F5"/>
    <w:rsid w:val="50C81C10"/>
    <w:rsid w:val="51320DA4"/>
    <w:rsid w:val="51A51BAB"/>
    <w:rsid w:val="51B12745"/>
    <w:rsid w:val="527D0E53"/>
    <w:rsid w:val="531225F7"/>
    <w:rsid w:val="53334E73"/>
    <w:rsid w:val="53C62C76"/>
    <w:rsid w:val="53E929B9"/>
    <w:rsid w:val="53F7528B"/>
    <w:rsid w:val="547A7F0B"/>
    <w:rsid w:val="54E900D7"/>
    <w:rsid w:val="55006BAB"/>
    <w:rsid w:val="557B30D7"/>
    <w:rsid w:val="55A641A6"/>
    <w:rsid w:val="56A80327"/>
    <w:rsid w:val="56B51240"/>
    <w:rsid w:val="572E346E"/>
    <w:rsid w:val="5749123E"/>
    <w:rsid w:val="57D37495"/>
    <w:rsid w:val="58241424"/>
    <w:rsid w:val="58300E4B"/>
    <w:rsid w:val="583A28E4"/>
    <w:rsid w:val="58475B80"/>
    <w:rsid w:val="58CF2590"/>
    <w:rsid w:val="59162C5B"/>
    <w:rsid w:val="59B26194"/>
    <w:rsid w:val="59FB3968"/>
    <w:rsid w:val="59FF6B13"/>
    <w:rsid w:val="5A0902FB"/>
    <w:rsid w:val="5A0C3593"/>
    <w:rsid w:val="5AD42C3A"/>
    <w:rsid w:val="5B797C47"/>
    <w:rsid w:val="5B9E6A07"/>
    <w:rsid w:val="5BE82147"/>
    <w:rsid w:val="5BFF30CD"/>
    <w:rsid w:val="5C44737A"/>
    <w:rsid w:val="5D26561D"/>
    <w:rsid w:val="5D277698"/>
    <w:rsid w:val="5D6D6E00"/>
    <w:rsid w:val="5D6F1C1A"/>
    <w:rsid w:val="5D7225C8"/>
    <w:rsid w:val="5D8D36EA"/>
    <w:rsid w:val="5DD870B4"/>
    <w:rsid w:val="5E246146"/>
    <w:rsid w:val="5E336B4A"/>
    <w:rsid w:val="5E5456C0"/>
    <w:rsid w:val="5E664591"/>
    <w:rsid w:val="5E6F43DC"/>
    <w:rsid w:val="5E7BA9B7"/>
    <w:rsid w:val="5FB62BC7"/>
    <w:rsid w:val="5FC76868"/>
    <w:rsid w:val="5FFB3C33"/>
    <w:rsid w:val="600B4038"/>
    <w:rsid w:val="60E305CF"/>
    <w:rsid w:val="60E42A06"/>
    <w:rsid w:val="615B0133"/>
    <w:rsid w:val="61704CA9"/>
    <w:rsid w:val="61BA5249"/>
    <w:rsid w:val="61EA3E1A"/>
    <w:rsid w:val="62330D08"/>
    <w:rsid w:val="62993F70"/>
    <w:rsid w:val="62CA7218"/>
    <w:rsid w:val="62D4629D"/>
    <w:rsid w:val="63643C1C"/>
    <w:rsid w:val="64026A41"/>
    <w:rsid w:val="648A1F67"/>
    <w:rsid w:val="649A2CCC"/>
    <w:rsid w:val="64FB3FEA"/>
    <w:rsid w:val="6569CB48"/>
    <w:rsid w:val="656A413C"/>
    <w:rsid w:val="65C93E5F"/>
    <w:rsid w:val="65DB7B80"/>
    <w:rsid w:val="65E23658"/>
    <w:rsid w:val="65FC002A"/>
    <w:rsid w:val="66010B88"/>
    <w:rsid w:val="66541BDE"/>
    <w:rsid w:val="66744F7D"/>
    <w:rsid w:val="66C51E92"/>
    <w:rsid w:val="68135545"/>
    <w:rsid w:val="68232CBD"/>
    <w:rsid w:val="6861276F"/>
    <w:rsid w:val="689A0C6D"/>
    <w:rsid w:val="68C4593A"/>
    <w:rsid w:val="68D41843"/>
    <w:rsid w:val="69BC3012"/>
    <w:rsid w:val="69E1425F"/>
    <w:rsid w:val="6A082D30"/>
    <w:rsid w:val="6A120979"/>
    <w:rsid w:val="6AA4098A"/>
    <w:rsid w:val="6ABB437C"/>
    <w:rsid w:val="6B236A56"/>
    <w:rsid w:val="6B6D307D"/>
    <w:rsid w:val="6BA91376"/>
    <w:rsid w:val="6BBB658A"/>
    <w:rsid w:val="6BCD5116"/>
    <w:rsid w:val="6BF50996"/>
    <w:rsid w:val="6C1B1A81"/>
    <w:rsid w:val="6C7041BF"/>
    <w:rsid w:val="6CE23D5D"/>
    <w:rsid w:val="6D19719A"/>
    <w:rsid w:val="6D7F553D"/>
    <w:rsid w:val="6DFAC6DB"/>
    <w:rsid w:val="6E472EF3"/>
    <w:rsid w:val="6E9966C8"/>
    <w:rsid w:val="6EBB6F2F"/>
    <w:rsid w:val="6ED724CE"/>
    <w:rsid w:val="6EE75F37"/>
    <w:rsid w:val="6F1514AC"/>
    <w:rsid w:val="6F5FA5A5"/>
    <w:rsid w:val="6F766425"/>
    <w:rsid w:val="6F82697B"/>
    <w:rsid w:val="6F95158B"/>
    <w:rsid w:val="6FF73D6B"/>
    <w:rsid w:val="6FFA7CB2"/>
    <w:rsid w:val="70F41C67"/>
    <w:rsid w:val="70F53010"/>
    <w:rsid w:val="70F8171C"/>
    <w:rsid w:val="7148343B"/>
    <w:rsid w:val="715E0A38"/>
    <w:rsid w:val="71F76C2D"/>
    <w:rsid w:val="72213CFC"/>
    <w:rsid w:val="729B0828"/>
    <w:rsid w:val="72BB5B5C"/>
    <w:rsid w:val="7338490D"/>
    <w:rsid w:val="733D4677"/>
    <w:rsid w:val="73B0538E"/>
    <w:rsid w:val="73F3471F"/>
    <w:rsid w:val="73F8100E"/>
    <w:rsid w:val="743A64E7"/>
    <w:rsid w:val="74576634"/>
    <w:rsid w:val="74BF5142"/>
    <w:rsid w:val="74DA51A1"/>
    <w:rsid w:val="753E44A5"/>
    <w:rsid w:val="75C678A4"/>
    <w:rsid w:val="75DE5F03"/>
    <w:rsid w:val="75F35CB7"/>
    <w:rsid w:val="7642698A"/>
    <w:rsid w:val="76817EDA"/>
    <w:rsid w:val="769055ED"/>
    <w:rsid w:val="76C0045B"/>
    <w:rsid w:val="76DE4712"/>
    <w:rsid w:val="77602284"/>
    <w:rsid w:val="7762620B"/>
    <w:rsid w:val="77735345"/>
    <w:rsid w:val="778F8CBA"/>
    <w:rsid w:val="779A10F9"/>
    <w:rsid w:val="77EF0FFF"/>
    <w:rsid w:val="78307919"/>
    <w:rsid w:val="788F01AB"/>
    <w:rsid w:val="78A669BB"/>
    <w:rsid w:val="78E72A9F"/>
    <w:rsid w:val="79487F37"/>
    <w:rsid w:val="79703351"/>
    <w:rsid w:val="7970776C"/>
    <w:rsid w:val="79B7297B"/>
    <w:rsid w:val="79E00E99"/>
    <w:rsid w:val="7A141A52"/>
    <w:rsid w:val="7A4C4F74"/>
    <w:rsid w:val="7A884077"/>
    <w:rsid w:val="7A9B6A28"/>
    <w:rsid w:val="7ADD3311"/>
    <w:rsid w:val="7ADE14A2"/>
    <w:rsid w:val="7B69559F"/>
    <w:rsid w:val="7B976270"/>
    <w:rsid w:val="7BAF12BD"/>
    <w:rsid w:val="7BF14C64"/>
    <w:rsid w:val="7C1E69F2"/>
    <w:rsid w:val="7C344CD3"/>
    <w:rsid w:val="7CA413E5"/>
    <w:rsid w:val="7D373D67"/>
    <w:rsid w:val="7DB36539"/>
    <w:rsid w:val="7DC40121"/>
    <w:rsid w:val="7E5C2FBA"/>
    <w:rsid w:val="7EB460AC"/>
    <w:rsid w:val="7F4511A0"/>
    <w:rsid w:val="7F7DEAA5"/>
    <w:rsid w:val="7FAD0EB7"/>
    <w:rsid w:val="7FF37A8D"/>
    <w:rsid w:val="7FFE963E"/>
    <w:rsid w:val="8FA37725"/>
    <w:rsid w:val="A2D88ABC"/>
    <w:rsid w:val="B4EF89E0"/>
    <w:rsid w:val="C7F7A1BF"/>
    <w:rsid w:val="D9E556C2"/>
    <w:rsid w:val="DFFF67F1"/>
    <w:rsid w:val="E6AE7316"/>
    <w:rsid w:val="EFFFCAF7"/>
    <w:rsid w:val="FD9FB46A"/>
    <w:rsid w:val="FDBD4B88"/>
    <w:rsid w:val="FDF24627"/>
    <w:rsid w:val="FDFB53F1"/>
    <w:rsid w:val="FE338581"/>
    <w:rsid w:val="FFA36F5F"/>
    <w:rsid w:val="FFBEAC88"/>
    <w:rsid w:val="FFBFF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2"/>
    <w:basedOn w:val="4"/>
    <w:next w:val="1"/>
    <w:qFormat/>
    <w:uiPriority w:val="0"/>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Emphasis"/>
    <w:basedOn w:val="10"/>
    <w:qFormat/>
    <w:uiPriority w:val="0"/>
    <w:rPr>
      <w:i/>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2485</Words>
  <Characters>2579</Characters>
  <Lines>21</Lines>
  <Paragraphs>6</Paragraphs>
  <TotalTime>69</TotalTime>
  <ScaleCrop>false</ScaleCrop>
  <LinksUpToDate>false</LinksUpToDate>
  <CharactersWithSpaces>2623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2021-05-12T14:19:00Z</dcterms:created>
  <dc:creator>杨柳</dc:creator>
  <cp:lastModifiedBy>沧浪之水</cp:lastModifiedBy>
  <cp:lastPrinted>2022-03-21T15:28:00Z</cp:lastPrinted>
  <dcterms:modified xsi:type="dcterms:W3CDTF">2022-04-21T00:40:43Z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309413BC592841EF8340AC115FF7FC1A</vt:lpwstr>
  </property>
</Properties>
</file>