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18F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2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2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22"/>
          <w:lang w:val="en-US" w:eastAsia="zh-CN"/>
        </w:rPr>
        <w:t>1</w:t>
      </w:r>
    </w:p>
    <w:p w14:paraId="62E7D1AA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highlight w:val="none"/>
        </w:rPr>
      </w:pPr>
    </w:p>
    <w:p w14:paraId="6FDCDEC5">
      <w:pPr>
        <w:widowControl/>
        <w:snapToGrid/>
        <w:spacing w:beforeLines="-2147483648" w:afterLines="-2147483648"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pacing w:val="-11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-11"/>
          <w:kern w:val="0"/>
          <w:sz w:val="44"/>
          <w:szCs w:val="44"/>
          <w:highlight w:val="none"/>
        </w:rPr>
        <w:t>申报</w:t>
      </w:r>
      <w:r>
        <w:rPr>
          <w:rFonts w:hint="default" w:ascii="Times New Roman" w:hAnsi="Times New Roman" w:eastAsia="方正小标宋简体" w:cs="Times New Roman"/>
          <w:color w:val="auto"/>
          <w:spacing w:val="-11"/>
          <w:kern w:val="0"/>
          <w:sz w:val="44"/>
          <w:szCs w:val="44"/>
          <w:highlight w:val="none"/>
          <w:lang w:eastAsia="zh-CN"/>
        </w:rPr>
        <w:t>工业和信息化领域</w:t>
      </w:r>
      <w:r>
        <w:rPr>
          <w:rFonts w:hint="default" w:ascii="Times New Roman" w:hAnsi="Times New Roman" w:eastAsia="方正小标宋简体" w:cs="Times New Roman"/>
          <w:color w:val="auto"/>
          <w:spacing w:val="-11"/>
          <w:kern w:val="0"/>
          <w:sz w:val="44"/>
          <w:szCs w:val="44"/>
          <w:highlight w:val="none"/>
        </w:rPr>
        <w:t>工程技术高级</w:t>
      </w:r>
      <w:r>
        <w:rPr>
          <w:rFonts w:hint="default" w:ascii="Times New Roman" w:hAnsi="Times New Roman" w:eastAsia="方正小标宋简体" w:cs="Times New Roman"/>
          <w:color w:val="auto"/>
          <w:spacing w:val="-11"/>
          <w:kern w:val="0"/>
          <w:sz w:val="44"/>
          <w:szCs w:val="44"/>
          <w:highlight w:val="none"/>
          <w:lang w:eastAsia="zh-CN"/>
        </w:rPr>
        <w:t>职称</w:t>
      </w:r>
      <w:r>
        <w:rPr>
          <w:rFonts w:hint="default" w:ascii="Times New Roman" w:hAnsi="Times New Roman" w:eastAsia="方正小标宋简体" w:cs="Times New Roman"/>
          <w:color w:val="auto"/>
          <w:spacing w:val="-11"/>
          <w:kern w:val="0"/>
          <w:sz w:val="44"/>
          <w:szCs w:val="44"/>
          <w:highlight w:val="none"/>
        </w:rPr>
        <w:t>的具体范围及现从事专业等要求</w:t>
      </w:r>
    </w:p>
    <w:tbl>
      <w:tblPr>
        <w:tblStyle w:val="3"/>
        <w:tblW w:w="134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191"/>
        <w:gridCol w:w="1417"/>
        <w:gridCol w:w="1701"/>
        <w:gridCol w:w="1587"/>
        <w:gridCol w:w="6463"/>
      </w:tblGrid>
      <w:tr w14:paraId="228A7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85" w:type="dxa"/>
            <w:vAlign w:val="center"/>
          </w:tcPr>
          <w:p w14:paraId="0E0278D8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申报</w:t>
            </w:r>
          </w:p>
          <w:p w14:paraId="48469632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级别</w:t>
            </w:r>
          </w:p>
        </w:tc>
        <w:tc>
          <w:tcPr>
            <w:tcW w:w="1191" w:type="dxa"/>
            <w:vAlign w:val="center"/>
          </w:tcPr>
          <w:p w14:paraId="46C45E26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申报</w:t>
            </w:r>
          </w:p>
          <w:p w14:paraId="4D5E60D8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系列</w:t>
            </w:r>
          </w:p>
        </w:tc>
        <w:tc>
          <w:tcPr>
            <w:tcW w:w="1417" w:type="dxa"/>
            <w:vAlign w:val="center"/>
          </w:tcPr>
          <w:p w14:paraId="41444DBA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申报职称</w:t>
            </w:r>
          </w:p>
        </w:tc>
        <w:tc>
          <w:tcPr>
            <w:tcW w:w="1701" w:type="dxa"/>
            <w:vAlign w:val="center"/>
          </w:tcPr>
          <w:p w14:paraId="4BD603B7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评委会名称</w:t>
            </w:r>
          </w:p>
        </w:tc>
        <w:tc>
          <w:tcPr>
            <w:tcW w:w="1587" w:type="dxa"/>
            <w:vAlign w:val="center"/>
          </w:tcPr>
          <w:p w14:paraId="1FC88543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申报范围</w:t>
            </w:r>
          </w:p>
        </w:tc>
        <w:tc>
          <w:tcPr>
            <w:tcW w:w="6463" w:type="dxa"/>
            <w:vAlign w:val="center"/>
          </w:tcPr>
          <w:p w14:paraId="719126B1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现从事专业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要求</w:t>
            </w:r>
          </w:p>
        </w:tc>
      </w:tr>
      <w:tr w14:paraId="2581D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F35AC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副高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ACEAB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工业和信息化领域工程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9E69B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高级工程师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8C639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山东省工程技术职务资格高级评审委员会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F26D7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省直各部门（单位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）、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省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企业</w:t>
            </w:r>
          </w:p>
        </w:tc>
        <w:tc>
          <w:tcPr>
            <w:tcW w:w="64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79F6CBC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一、正高和副高的申报系列均请务必选择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工业和信息化领域工程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。</w:t>
            </w:r>
          </w:p>
          <w:p w14:paraId="5B579BE9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二、申报人员的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现从事专业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：节能工程、汽车工程、电力工程、电子信息、机械设计、机械制造、仪器仪表、设备工程、有机化工、无机化工、化学工程、化工分析、食品工程、造纸印刷、轻工日用杂品、纺织、化纤、染整、人工智能、云计算、集成电路、工业设计、冶金工程、黄金工程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、技术转化运营服务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等专业的工程技术人员。</w:t>
            </w:r>
          </w:p>
        </w:tc>
      </w:tr>
      <w:tr w14:paraId="26319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04B58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正高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192BD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工业和信息化领域工程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03FCF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正高级工程师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DB7FF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山东省工程技术职务资格高级评审委员会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30B72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市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省直各部门（单位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省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企业</w:t>
            </w:r>
          </w:p>
        </w:tc>
        <w:tc>
          <w:tcPr>
            <w:tcW w:w="64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B0E27D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567F6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ascii="Times New Roman" w:hAnsi="Times New Roman" w:cs="Times New Roman"/>
        </w:rPr>
      </w:pPr>
    </w:p>
    <w:sectPr>
      <w:pgSz w:w="16838" w:h="11906" w:orient="landscape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720"/>
      </w:pPr>
      <w:r>
        <w:separator/>
      </w:r>
    </w:p>
  </w:endnote>
  <w:endnote w:type="continuationSeparator" w:id="1">
    <w:p>
      <w:pPr>
        <w:spacing w:line="240" w:lineRule="auto"/>
        <w:ind w:firstLine="7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720"/>
      </w:pPr>
      <w:r>
        <w:separator/>
      </w:r>
    </w:p>
  </w:footnote>
  <w:footnote w:type="continuationSeparator" w:id="1">
    <w:p>
      <w:pPr>
        <w:spacing w:line="240" w:lineRule="auto"/>
        <w:ind w:firstLine="7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DFmOTcxNWQ0MjQzZDczN2IwMWZmZmQzYzIxMjEifQ=="/>
    <w:docVar w:name="KSO_WPS_MARK_KEY" w:val="bd707205-ca61-4260-acac-52257499125d"/>
  </w:docVars>
  <w:rsids>
    <w:rsidRoot w:val="00000000"/>
    <w:rsid w:val="04B34A97"/>
    <w:rsid w:val="15A52F64"/>
    <w:rsid w:val="15F83679"/>
    <w:rsid w:val="24B83AE5"/>
    <w:rsid w:val="312B1069"/>
    <w:rsid w:val="33850924"/>
    <w:rsid w:val="3EF83978"/>
    <w:rsid w:val="4F780B1E"/>
    <w:rsid w:val="53A249B1"/>
    <w:rsid w:val="60D4178D"/>
    <w:rsid w:val="6186498D"/>
    <w:rsid w:val="61961F24"/>
    <w:rsid w:val="61AA150E"/>
    <w:rsid w:val="64671127"/>
    <w:rsid w:val="653678D0"/>
    <w:rsid w:val="65DC53A8"/>
    <w:rsid w:val="6E0D575F"/>
    <w:rsid w:val="78700B38"/>
    <w:rsid w:val="7A274737"/>
    <w:rsid w:val="7B5D1DB2"/>
    <w:rsid w:val="7BFF579B"/>
    <w:rsid w:val="7D057EAD"/>
    <w:rsid w:val="7FD8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6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349</Characters>
  <Lines>0</Lines>
  <Paragraphs>0</Paragraphs>
  <TotalTime>15</TotalTime>
  <ScaleCrop>false</ScaleCrop>
  <LinksUpToDate>false</LinksUpToDate>
  <CharactersWithSpaces>349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2023-07-13T06:59:00Z</dcterms:created>
  <dc:creator>10109</dc:creator>
  <cp:lastModifiedBy>张琛</cp:lastModifiedBy>
  <cp:lastPrinted>2025-09-12T04:30:46Z</cp:lastPrinted>
  <dcterms:modified xsi:type="dcterms:W3CDTF">2025-09-12T04:30:49Z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79A4A84F6251400AA6D403AE59F4B894_12</vt:lpwstr>
  </property>
  <property fmtid="{D5CDD505-2E9C-101B-9397-08002B2CF9AE}" pid="4" name="KSOTemplateDocerSaveRecord">
    <vt:lpwstr>eyJoZGlkIjoiMjc5YzUyYmYyMGRmODgxNTlmMzU5NjY1NzZiZjc2ZjQiLCJ1c2VySWQiOiIxNDg1MjMyMjY0In0=</vt:lpwstr>
  </property>
</Properties>
</file>