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CDF53">
      <w:pPr>
        <w:spacing w:line="285" w:lineRule="auto"/>
        <w:rPr>
          <w:rFonts w:ascii="Arial"/>
          <w:sz w:val="21"/>
        </w:rPr>
      </w:pPr>
    </w:p>
    <w:p w14:paraId="7B526DC0">
      <w:pPr>
        <w:spacing w:line="286" w:lineRule="auto"/>
        <w:rPr>
          <w:rFonts w:ascii="Arial"/>
          <w:sz w:val="21"/>
        </w:rPr>
      </w:pPr>
    </w:p>
    <w:p w14:paraId="32075F52">
      <w:pPr>
        <w:spacing w:line="286" w:lineRule="auto"/>
        <w:rPr>
          <w:rFonts w:ascii="Arial"/>
          <w:sz w:val="21"/>
        </w:rPr>
      </w:pPr>
    </w:p>
    <w:p w14:paraId="061C0039">
      <w:pPr>
        <w:spacing w:before="101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2257728F">
      <w:pPr>
        <w:spacing w:before="186" w:line="191" w:lineRule="auto"/>
        <w:ind w:left="5116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color w:val="070707"/>
          <w:spacing w:val="9"/>
          <w:sz w:val="35"/>
          <w:szCs w:val="35"/>
        </w:rPr>
        <w:t>工艺技术设备推荐汇总表</w:t>
      </w:r>
    </w:p>
    <w:tbl>
      <w:tblPr>
        <w:tblStyle w:val="6"/>
        <w:tblW w:w="131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1736"/>
        <w:gridCol w:w="1712"/>
        <w:gridCol w:w="3748"/>
        <w:gridCol w:w="3586"/>
        <w:gridCol w:w="1805"/>
      </w:tblGrid>
      <w:tr w14:paraId="45A7F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77" w:type="dxa"/>
            <w:textDirection w:val="tbRlV"/>
            <w:vAlign w:val="top"/>
          </w:tcPr>
          <w:p w14:paraId="7B375D37">
            <w:pPr>
              <w:spacing w:before="165" w:line="209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号</w:t>
            </w:r>
          </w:p>
        </w:tc>
        <w:tc>
          <w:tcPr>
            <w:tcW w:w="1736" w:type="dxa"/>
            <w:vAlign w:val="top"/>
          </w:tcPr>
          <w:p w14:paraId="53FB85F7">
            <w:pPr>
              <w:spacing w:before="246" w:line="222" w:lineRule="auto"/>
              <w:ind w:left="3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1712" w:type="dxa"/>
            <w:vAlign w:val="top"/>
          </w:tcPr>
          <w:p w14:paraId="0FDAFF1D">
            <w:pPr>
              <w:spacing w:before="90" w:line="231" w:lineRule="auto"/>
              <w:ind w:left="622" w:right="134" w:hanging="4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工艺技术设备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3748" w:type="dxa"/>
            <w:vAlign w:val="top"/>
          </w:tcPr>
          <w:p w14:paraId="6CEA64D7">
            <w:pPr>
              <w:spacing w:before="246" w:line="222" w:lineRule="auto"/>
              <w:ind w:left="9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工艺技术设备简介</w:t>
            </w:r>
          </w:p>
        </w:tc>
        <w:tc>
          <w:tcPr>
            <w:tcW w:w="3586" w:type="dxa"/>
            <w:vAlign w:val="top"/>
          </w:tcPr>
          <w:p w14:paraId="4B402D0F">
            <w:pPr>
              <w:spacing w:before="247" w:line="222" w:lineRule="auto"/>
              <w:ind w:left="48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关键技术与主要技术指标</w:t>
            </w:r>
          </w:p>
        </w:tc>
        <w:tc>
          <w:tcPr>
            <w:tcW w:w="1805" w:type="dxa"/>
            <w:vAlign w:val="top"/>
          </w:tcPr>
          <w:p w14:paraId="348C6053">
            <w:pPr>
              <w:spacing w:before="246" w:line="223" w:lineRule="auto"/>
              <w:ind w:left="4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适用范围</w:t>
            </w:r>
          </w:p>
        </w:tc>
      </w:tr>
      <w:tr w14:paraId="3F84A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77" w:type="dxa"/>
            <w:vAlign w:val="top"/>
          </w:tcPr>
          <w:p w14:paraId="445E8A94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vAlign w:val="top"/>
          </w:tcPr>
          <w:p w14:paraId="1236AC13">
            <w:pPr>
              <w:rPr>
                <w:rFonts w:ascii="Arial"/>
                <w:sz w:val="21"/>
              </w:rPr>
            </w:pPr>
          </w:p>
        </w:tc>
        <w:tc>
          <w:tcPr>
            <w:tcW w:w="1712" w:type="dxa"/>
            <w:vAlign w:val="top"/>
          </w:tcPr>
          <w:p w14:paraId="39ED4FAB">
            <w:pPr>
              <w:rPr>
                <w:rFonts w:ascii="Arial"/>
                <w:sz w:val="21"/>
              </w:rPr>
            </w:pPr>
          </w:p>
        </w:tc>
        <w:tc>
          <w:tcPr>
            <w:tcW w:w="3748" w:type="dxa"/>
            <w:vAlign w:val="top"/>
          </w:tcPr>
          <w:p w14:paraId="1B1B2FB8">
            <w:pPr>
              <w:rPr>
                <w:rFonts w:ascii="Arial"/>
                <w:sz w:val="21"/>
              </w:rPr>
            </w:pPr>
          </w:p>
        </w:tc>
        <w:tc>
          <w:tcPr>
            <w:tcW w:w="3586" w:type="dxa"/>
            <w:vAlign w:val="top"/>
          </w:tcPr>
          <w:p w14:paraId="5C95C7F3">
            <w:pPr>
              <w:rPr>
                <w:rFonts w:ascii="Arial"/>
                <w:sz w:val="21"/>
              </w:rPr>
            </w:pPr>
          </w:p>
        </w:tc>
        <w:tc>
          <w:tcPr>
            <w:tcW w:w="1805" w:type="dxa"/>
            <w:vAlign w:val="top"/>
          </w:tcPr>
          <w:p w14:paraId="62969289">
            <w:pPr>
              <w:rPr>
                <w:rFonts w:ascii="Arial"/>
                <w:sz w:val="21"/>
              </w:rPr>
            </w:pPr>
          </w:p>
        </w:tc>
      </w:tr>
    </w:tbl>
    <w:p w14:paraId="2FB31687">
      <w:pPr>
        <w:spacing w:before="208" w:line="214" w:lineRule="auto"/>
        <w:ind w:left="132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要求：描述科学准确、语言精炼，以下示例供参考。</w:t>
      </w:r>
    </w:p>
    <w:p w14:paraId="1759C7E9">
      <w:pPr>
        <w:spacing w:before="204" w:line="221" w:lineRule="auto"/>
        <w:ind w:left="648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示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   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例</w:t>
      </w:r>
    </w:p>
    <w:p w14:paraId="56C2293C">
      <w:pPr>
        <w:spacing w:line="123" w:lineRule="auto"/>
        <w:rPr>
          <w:rFonts w:ascii="Arial"/>
          <w:sz w:val="2"/>
        </w:rPr>
      </w:pPr>
    </w:p>
    <w:tbl>
      <w:tblPr>
        <w:tblStyle w:val="6"/>
        <w:tblW w:w="132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731"/>
        <w:gridCol w:w="1731"/>
        <w:gridCol w:w="3742"/>
        <w:gridCol w:w="3751"/>
        <w:gridCol w:w="1671"/>
      </w:tblGrid>
      <w:tr w14:paraId="03134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9" w:type="dxa"/>
            <w:textDirection w:val="tbRlV"/>
            <w:vAlign w:val="top"/>
          </w:tcPr>
          <w:p w14:paraId="42B37246">
            <w:pPr>
              <w:spacing w:before="165" w:line="209" w:lineRule="auto"/>
              <w:ind w:left="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号</w:t>
            </w:r>
          </w:p>
        </w:tc>
        <w:tc>
          <w:tcPr>
            <w:tcW w:w="1731" w:type="dxa"/>
            <w:vAlign w:val="top"/>
          </w:tcPr>
          <w:p w14:paraId="398B9D90">
            <w:pPr>
              <w:spacing w:before="213" w:line="222" w:lineRule="auto"/>
              <w:ind w:left="3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1731" w:type="dxa"/>
            <w:vAlign w:val="top"/>
          </w:tcPr>
          <w:p w14:paraId="04FDA442">
            <w:pPr>
              <w:spacing w:before="57" w:line="230" w:lineRule="auto"/>
              <w:ind w:left="632" w:right="143" w:hanging="4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工艺技术设备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3742" w:type="dxa"/>
            <w:vAlign w:val="top"/>
          </w:tcPr>
          <w:p w14:paraId="6F64ED9D">
            <w:pPr>
              <w:spacing w:before="213" w:line="222" w:lineRule="auto"/>
              <w:ind w:left="9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工艺技术设备简介</w:t>
            </w:r>
          </w:p>
        </w:tc>
        <w:tc>
          <w:tcPr>
            <w:tcW w:w="3751" w:type="dxa"/>
            <w:vAlign w:val="top"/>
          </w:tcPr>
          <w:p w14:paraId="4E84EBE0">
            <w:pPr>
              <w:spacing w:before="214" w:line="222" w:lineRule="auto"/>
              <w:ind w:left="5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关键技术及主要技术指标</w:t>
            </w:r>
          </w:p>
        </w:tc>
        <w:tc>
          <w:tcPr>
            <w:tcW w:w="1671" w:type="dxa"/>
            <w:vAlign w:val="top"/>
          </w:tcPr>
          <w:p w14:paraId="5FE12F7E">
            <w:pPr>
              <w:spacing w:before="214" w:line="223" w:lineRule="auto"/>
              <w:ind w:left="3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适用范围</w:t>
            </w:r>
          </w:p>
        </w:tc>
      </w:tr>
      <w:tr w14:paraId="1C28B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579" w:type="dxa"/>
            <w:vAlign w:val="top"/>
          </w:tcPr>
          <w:p w14:paraId="26C08E3A">
            <w:pPr>
              <w:spacing w:line="263" w:lineRule="auto"/>
              <w:rPr>
                <w:rFonts w:ascii="Arial"/>
                <w:sz w:val="21"/>
              </w:rPr>
            </w:pPr>
          </w:p>
          <w:p w14:paraId="0904AA48">
            <w:pPr>
              <w:spacing w:line="263" w:lineRule="auto"/>
              <w:rPr>
                <w:rFonts w:ascii="Arial"/>
                <w:sz w:val="21"/>
              </w:rPr>
            </w:pPr>
          </w:p>
          <w:p w14:paraId="30A718E9">
            <w:pPr>
              <w:spacing w:line="263" w:lineRule="auto"/>
              <w:rPr>
                <w:rFonts w:ascii="Arial"/>
                <w:sz w:val="21"/>
              </w:rPr>
            </w:pPr>
          </w:p>
          <w:p w14:paraId="1914BE51">
            <w:pPr>
              <w:spacing w:line="263" w:lineRule="auto"/>
              <w:rPr>
                <w:rFonts w:ascii="Arial"/>
                <w:sz w:val="21"/>
              </w:rPr>
            </w:pPr>
          </w:p>
          <w:p w14:paraId="70DE9CA8">
            <w:pPr>
              <w:spacing w:line="264" w:lineRule="auto"/>
              <w:rPr>
                <w:rFonts w:ascii="Arial"/>
                <w:sz w:val="21"/>
              </w:rPr>
            </w:pPr>
          </w:p>
          <w:p w14:paraId="5FABC92A">
            <w:pPr>
              <w:spacing w:line="264" w:lineRule="auto"/>
              <w:rPr>
                <w:rFonts w:ascii="Arial"/>
                <w:sz w:val="21"/>
              </w:rPr>
            </w:pPr>
          </w:p>
          <w:p w14:paraId="4B935558">
            <w:pPr>
              <w:spacing w:before="58" w:line="195" w:lineRule="auto"/>
              <w:ind w:left="2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731" w:type="dxa"/>
            <w:vAlign w:val="top"/>
          </w:tcPr>
          <w:p w14:paraId="77960D00">
            <w:pPr>
              <w:spacing w:line="263" w:lineRule="auto"/>
              <w:rPr>
                <w:rFonts w:ascii="Arial"/>
                <w:sz w:val="21"/>
              </w:rPr>
            </w:pPr>
          </w:p>
          <w:p w14:paraId="1F8842A0">
            <w:pPr>
              <w:spacing w:line="264" w:lineRule="auto"/>
              <w:rPr>
                <w:rFonts w:ascii="Arial"/>
                <w:sz w:val="21"/>
              </w:rPr>
            </w:pPr>
          </w:p>
          <w:p w14:paraId="47100D10">
            <w:pPr>
              <w:spacing w:line="264" w:lineRule="auto"/>
              <w:rPr>
                <w:rFonts w:ascii="Arial"/>
                <w:sz w:val="21"/>
              </w:rPr>
            </w:pPr>
          </w:p>
          <w:p w14:paraId="4121815D">
            <w:pPr>
              <w:spacing w:line="264" w:lineRule="auto"/>
              <w:rPr>
                <w:rFonts w:ascii="Arial"/>
                <w:sz w:val="21"/>
              </w:rPr>
            </w:pPr>
          </w:p>
          <w:p w14:paraId="431DB744">
            <w:pPr>
              <w:spacing w:line="264" w:lineRule="auto"/>
              <w:rPr>
                <w:rFonts w:ascii="Arial"/>
                <w:sz w:val="21"/>
              </w:rPr>
            </w:pPr>
          </w:p>
          <w:p w14:paraId="5B667820">
            <w:pPr>
              <w:spacing w:line="264" w:lineRule="auto"/>
              <w:rPr>
                <w:rFonts w:ascii="Arial"/>
                <w:sz w:val="21"/>
              </w:rPr>
            </w:pPr>
          </w:p>
          <w:p w14:paraId="4315CF3A">
            <w:pPr>
              <w:spacing w:before="58" w:line="192" w:lineRule="auto"/>
              <w:ind w:left="1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XXXXXXX</w:t>
            </w:r>
          </w:p>
        </w:tc>
        <w:tc>
          <w:tcPr>
            <w:tcW w:w="1731" w:type="dxa"/>
            <w:vAlign w:val="top"/>
          </w:tcPr>
          <w:p w14:paraId="3556457B">
            <w:pPr>
              <w:spacing w:line="268" w:lineRule="auto"/>
              <w:rPr>
                <w:rFonts w:ascii="Arial"/>
                <w:sz w:val="21"/>
              </w:rPr>
            </w:pPr>
          </w:p>
          <w:p w14:paraId="14208D0A">
            <w:pPr>
              <w:spacing w:line="268" w:lineRule="auto"/>
              <w:rPr>
                <w:rFonts w:ascii="Arial"/>
                <w:sz w:val="21"/>
              </w:rPr>
            </w:pPr>
          </w:p>
          <w:p w14:paraId="06B3E754">
            <w:pPr>
              <w:spacing w:line="268" w:lineRule="auto"/>
              <w:rPr>
                <w:rFonts w:ascii="Arial"/>
                <w:sz w:val="21"/>
              </w:rPr>
            </w:pPr>
          </w:p>
          <w:p w14:paraId="052E1140">
            <w:pPr>
              <w:spacing w:line="268" w:lineRule="auto"/>
              <w:rPr>
                <w:rFonts w:ascii="Arial"/>
                <w:sz w:val="21"/>
              </w:rPr>
            </w:pPr>
          </w:p>
          <w:p w14:paraId="6346D9C4">
            <w:pPr>
              <w:pStyle w:val="7"/>
              <w:spacing w:before="65" w:line="276" w:lineRule="auto"/>
              <w:ind w:left="117" w:right="107" w:firstLine="1"/>
              <w:jc w:val="both"/>
            </w:pPr>
            <w:r>
              <w:rPr>
                <w:spacing w:val="14"/>
              </w:rPr>
              <w:t>粉煤灰提取氧化</w:t>
            </w:r>
            <w:r>
              <w:t xml:space="preserve"> </w:t>
            </w:r>
            <w:r>
              <w:rPr>
                <w:spacing w:val="-10"/>
              </w:rPr>
              <w:t>铝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联</w:t>
            </w:r>
            <w:r>
              <w:rPr>
                <w:spacing w:val="-32"/>
              </w:rPr>
              <w:t xml:space="preserve"> </w:t>
            </w:r>
            <w:r>
              <w:rPr>
                <w:spacing w:val="-10"/>
              </w:rPr>
              <w:t>产</w:t>
            </w:r>
            <w:r>
              <w:rPr>
                <w:spacing w:val="-32"/>
              </w:rPr>
              <w:t xml:space="preserve"> </w:t>
            </w:r>
            <w:r>
              <w:rPr>
                <w:spacing w:val="-10"/>
              </w:rPr>
              <w:t>超 白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玻</w:t>
            </w:r>
            <w:r>
              <w:t xml:space="preserve"> </w:t>
            </w:r>
            <w:r>
              <w:rPr>
                <w:spacing w:val="14"/>
              </w:rPr>
              <w:t>璃、分子筛、硅</w:t>
            </w:r>
          </w:p>
          <w:p w14:paraId="46F5FA7A">
            <w:pPr>
              <w:pStyle w:val="7"/>
              <w:spacing w:before="39" w:line="227" w:lineRule="auto"/>
              <w:ind w:left="117"/>
            </w:pPr>
            <w:r>
              <w:rPr>
                <w:spacing w:val="7"/>
              </w:rPr>
              <w:t>肥等集成技术</w:t>
            </w:r>
          </w:p>
        </w:tc>
        <w:tc>
          <w:tcPr>
            <w:tcW w:w="3742" w:type="dxa"/>
            <w:vAlign w:val="top"/>
          </w:tcPr>
          <w:p w14:paraId="36577D73">
            <w:pPr>
              <w:spacing w:line="304" w:lineRule="auto"/>
              <w:rPr>
                <w:rFonts w:ascii="Arial"/>
                <w:sz w:val="21"/>
              </w:rPr>
            </w:pPr>
          </w:p>
          <w:p w14:paraId="40BDB7C5">
            <w:pPr>
              <w:spacing w:line="304" w:lineRule="auto"/>
              <w:rPr>
                <w:rFonts w:ascii="Arial"/>
                <w:sz w:val="21"/>
              </w:rPr>
            </w:pPr>
          </w:p>
          <w:p w14:paraId="07917BE9">
            <w:pPr>
              <w:pStyle w:val="7"/>
              <w:spacing w:before="65" w:line="283" w:lineRule="auto"/>
              <w:ind w:left="116" w:right="52" w:firstLine="7"/>
            </w:pPr>
            <w:r>
              <w:rPr>
                <w:spacing w:val="6"/>
              </w:rPr>
              <w:t>高铝粉煤灰经预脱硅、生料浆制备、熟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料烧成、熟料溶出等工序，产出氧化铝；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脱硅液经碳分、改性、纯化、配料、溶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制等工序产出超白玻璃；提铝残渣用于</w:t>
            </w:r>
            <w:r>
              <w:rPr>
                <w:spacing w:val="9"/>
              </w:rPr>
              <w:t xml:space="preserve"> 制备高纯度沸石分子筛、硅肥等产品，</w:t>
            </w:r>
            <w:r>
              <w:rPr>
                <w:spacing w:val="13"/>
              </w:rPr>
              <w:t xml:space="preserve"> </w:t>
            </w:r>
            <w:r>
              <w:rPr>
                <w:spacing w:val="19"/>
              </w:rPr>
              <w:t>各产品性能均可达到或优于行业标准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要求。</w:t>
            </w:r>
          </w:p>
        </w:tc>
        <w:tc>
          <w:tcPr>
            <w:tcW w:w="3751" w:type="dxa"/>
            <w:vAlign w:val="top"/>
          </w:tcPr>
          <w:p w14:paraId="4DFD63D3">
            <w:pPr>
              <w:pStyle w:val="7"/>
              <w:spacing w:before="49" w:line="282" w:lineRule="auto"/>
              <w:ind w:left="118" w:right="100" w:firstLine="6"/>
            </w:pPr>
            <w:r>
              <w:rPr>
                <w:rFonts w:ascii="仿宋" w:hAnsi="仿宋" w:eastAsia="仿宋" w:cs="仿宋"/>
                <w:b/>
                <w:bCs/>
                <w:spacing w:val="6"/>
              </w:rPr>
              <w:t>关键技术</w:t>
            </w:r>
            <w:r>
              <w:rPr>
                <w:spacing w:val="6"/>
              </w:rPr>
              <w:t>：粉煤灰预脱硅—碱石灰烧结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法提取氧化铝技术；脱硅液制备超白玻</w:t>
            </w:r>
            <w:r>
              <w:rPr>
                <w:spacing w:val="2"/>
              </w:rPr>
              <w:t xml:space="preserve"> </w:t>
            </w:r>
            <w:r>
              <w:rPr>
                <w:spacing w:val="17"/>
              </w:rPr>
              <w:t>璃技术</w:t>
            </w:r>
            <w:r>
              <w:rPr>
                <w:spacing w:val="-51"/>
              </w:rPr>
              <w:t xml:space="preserve"> </w:t>
            </w:r>
            <w:r>
              <w:rPr>
                <w:spacing w:val="17"/>
              </w:rPr>
              <w:t>；提铝残渣制备分子筛工艺技</w:t>
            </w:r>
            <w:r>
              <w:t xml:space="preserve"> </w:t>
            </w:r>
            <w:r>
              <w:rPr>
                <w:spacing w:val="7"/>
              </w:rPr>
              <w:t>术；粉煤灰提铝残渣制备高效硅肥工艺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技术。</w:t>
            </w:r>
          </w:p>
          <w:p w14:paraId="085324A5">
            <w:pPr>
              <w:pStyle w:val="7"/>
              <w:spacing w:before="36" w:line="279" w:lineRule="auto"/>
              <w:ind w:left="108" w:right="100" w:firstLine="16"/>
            </w:pPr>
            <w:r>
              <w:rPr>
                <w:rFonts w:ascii="仿宋" w:hAnsi="仿宋" w:eastAsia="仿宋" w:cs="仿宋"/>
                <w:b/>
                <w:bCs/>
                <w:spacing w:val="28"/>
              </w:rPr>
              <w:t>主要技术指标：</w:t>
            </w:r>
            <w:r>
              <w:rPr>
                <w:rFonts w:ascii="仿宋" w:hAnsi="仿宋" w:eastAsia="仿宋" w:cs="仿宋"/>
                <w:spacing w:val="-16"/>
              </w:rPr>
              <w:t xml:space="preserve"> </w:t>
            </w:r>
            <w:r>
              <w:rPr>
                <w:spacing w:val="28"/>
              </w:rPr>
              <w:t>氧化钙提取率达到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48%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4"/>
              </w:rPr>
              <w:t>，氧化铝溶出率高达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90%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4"/>
              </w:rPr>
              <w:t>；沸石分</w:t>
            </w:r>
            <w:r>
              <w:t xml:space="preserve"> </w:t>
            </w:r>
            <w:r>
              <w:rPr>
                <w:spacing w:val="11"/>
              </w:rPr>
              <w:t>子筛产品达到《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13X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</w:rPr>
              <w:t xml:space="preserve"> </w:t>
            </w:r>
            <w:r>
              <w:rPr>
                <w:spacing w:val="11"/>
              </w:rPr>
              <w:t>分子筛》</w:t>
            </w:r>
            <w:r>
              <w:rPr>
                <w:spacing w:val="-52"/>
              </w:rPr>
              <w:t xml:space="preserve"> </w:t>
            </w:r>
            <w:r>
              <w:rPr>
                <w:spacing w:val="11"/>
              </w:rPr>
              <w:t>（</w:t>
            </w:r>
            <w:r>
              <w:rPr>
                <w:rFonts w:ascii="Times New Roman" w:hAnsi="Times New Roman" w:eastAsia="Times New Roman" w:cs="Times New Roman"/>
              </w:rPr>
              <w:t>HG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/T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2690</w:t>
            </w:r>
            <w:r>
              <w:rPr>
                <w:spacing w:val="6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2012</w:t>
            </w:r>
            <w:r>
              <w:rPr>
                <w:spacing w:val="6"/>
              </w:rPr>
              <w:t>）要求；硅肥产品的有效硅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含量可达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30%</w:t>
            </w:r>
            <w:r>
              <w:rPr>
                <w:spacing w:val="6"/>
              </w:rPr>
              <w:t>左右，超过行业标准《硅</w:t>
            </w:r>
            <w:r>
              <w:t xml:space="preserve"> </w:t>
            </w:r>
            <w:r>
              <w:rPr>
                <w:spacing w:val="4"/>
              </w:rPr>
              <w:t>肥》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（</w:t>
            </w:r>
            <w:r>
              <w:rPr>
                <w:rFonts w:ascii="Times New Roman" w:hAnsi="Times New Roman" w:eastAsia="Times New Roman" w:cs="Times New Roman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/T 797-2004</w:t>
            </w:r>
            <w:r>
              <w:rPr>
                <w:spacing w:val="4"/>
              </w:rPr>
              <w:t>）。</w:t>
            </w:r>
          </w:p>
        </w:tc>
        <w:tc>
          <w:tcPr>
            <w:tcW w:w="1671" w:type="dxa"/>
            <w:vAlign w:val="top"/>
          </w:tcPr>
          <w:p w14:paraId="711F3C9D">
            <w:pPr>
              <w:spacing w:line="276" w:lineRule="auto"/>
              <w:rPr>
                <w:rFonts w:ascii="Arial"/>
                <w:sz w:val="21"/>
              </w:rPr>
            </w:pPr>
          </w:p>
          <w:p w14:paraId="7C8C4A24">
            <w:pPr>
              <w:spacing w:line="276" w:lineRule="auto"/>
              <w:rPr>
                <w:rFonts w:ascii="Arial"/>
                <w:sz w:val="21"/>
              </w:rPr>
            </w:pPr>
          </w:p>
          <w:p w14:paraId="6C08ADFA">
            <w:pPr>
              <w:spacing w:line="276" w:lineRule="auto"/>
              <w:rPr>
                <w:rFonts w:ascii="Arial"/>
                <w:sz w:val="21"/>
              </w:rPr>
            </w:pPr>
          </w:p>
          <w:p w14:paraId="126D1E19">
            <w:pPr>
              <w:spacing w:line="277" w:lineRule="auto"/>
              <w:rPr>
                <w:rFonts w:ascii="Arial"/>
                <w:sz w:val="21"/>
              </w:rPr>
            </w:pPr>
          </w:p>
          <w:p w14:paraId="3FD1292D">
            <w:pPr>
              <w:spacing w:line="277" w:lineRule="auto"/>
              <w:rPr>
                <w:rFonts w:ascii="Arial"/>
                <w:sz w:val="21"/>
              </w:rPr>
            </w:pPr>
          </w:p>
          <w:p w14:paraId="3A984933">
            <w:pPr>
              <w:pStyle w:val="7"/>
              <w:spacing w:before="65" w:line="272" w:lineRule="auto"/>
              <w:ind w:left="127" w:right="108"/>
            </w:pPr>
            <w:r>
              <w:rPr>
                <w:spacing w:val="38"/>
              </w:rPr>
              <w:t>高铝粉煤灰综</w:t>
            </w:r>
            <w:r>
              <w:t xml:space="preserve"> </w:t>
            </w:r>
            <w:r>
              <w:rPr>
                <w:spacing w:val="3"/>
              </w:rPr>
              <w:t>合利用</w:t>
            </w:r>
          </w:p>
        </w:tc>
      </w:tr>
    </w:tbl>
    <w:p w14:paraId="7BA0B13E"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2300" w:bottom="1150" w:left="1327" w:header="0" w:footer="845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B16E7">
    <w:pPr>
      <w:spacing w:line="171" w:lineRule="auto"/>
      <w:ind w:left="7052"/>
      <w:rPr>
        <w:rFonts w:ascii="华文中宋" w:hAnsi="华文中宋" w:eastAsia="华文中宋" w:cs="华文中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4A33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54A330">
                    <w:pPr>
                      <w:pStyle w:val="2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EB46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407</Words>
  <Characters>440</Characters>
  <TotalTime>1</TotalTime>
  <ScaleCrop>false</ScaleCrop>
  <LinksUpToDate>false</LinksUpToDate>
  <CharactersWithSpaces>482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2025-02-12T03:07:22Z</dcterms:created>
  <dc:creator>Li xiang</dc:creator>
  <cp:lastModifiedBy>陈昆仑</cp:lastModifiedBy>
  <dcterms:modified xsi:type="dcterms:W3CDTF">2025-02-12T03:08:23Z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2025-02-11T17:45:00Z</vt:filetime>
  </property>
  <property fmtid="{D5CDD505-2E9C-101B-9397-08002B2CF9AE}" pid="4" name="KSOTemplateDocerSaveRecord">
    <vt:lpwstr>eyJoZGlkIjoiYzM1MWM5YzljMTNlMzY1ZGQzYmNjMDhjNzY4ZjhlNzYiLCJ1c2VySWQiOiI0MDEyMzI0OTQifQ==</vt:lpwstr>
  </property>
  <property fmtid="{D5CDD505-2E9C-101B-9397-08002B2CF9AE}" pid="5" name="KSOProductBuildVer">
    <vt:lpwstr>2052-12.1.0.19770</vt:lpwstr>
  </property>
  <property fmtid="{D5CDD505-2E9C-101B-9397-08002B2CF9AE}" pid="6" name="ICV">
    <vt:lpwstr>815BC325AE1F4FEB8EB085875FC04B4A_12</vt:lpwstr>
  </property>
</Properties>
</file>