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ascii="仿宋" w:hAnsi="仿宋" w:eastAsia="仿宋"/>
          <w:snapToGrid/>
          <w:kern w:val="21"/>
          <w:sz w:val="32"/>
          <w:szCs w:val="32"/>
        </w:rPr>
      </w:pPr>
      <w:r>
        <w:rPr>
          <w:rFonts w:hint="eastAsia" w:ascii="方正小标宋简体" w:hAnsi="仿宋" w:eastAsia="方正小标宋简体"/>
          <w:snapToGrid/>
          <w:kern w:val="21"/>
          <w:sz w:val="44"/>
          <w:szCs w:val="44"/>
        </w:rPr>
        <w:t>山东省瞪羚</w:t>
      </w:r>
      <w:r>
        <w:rPr>
          <w:rFonts w:hint="eastAsia" w:ascii="方正小标宋简体" w:hAnsi="仿宋" w:eastAsia="方正小标宋简体"/>
          <w:snapToGrid/>
          <w:kern w:val="21"/>
          <w:sz w:val="44"/>
          <w:szCs w:val="44"/>
          <w:lang w:eastAsia="zh-CN"/>
        </w:rPr>
        <w:t>、</w:t>
      </w:r>
      <w:r>
        <w:rPr>
          <w:rFonts w:hint="eastAsia" w:ascii="方正小标宋简体" w:hAnsi="仿宋" w:eastAsia="方正小标宋简体"/>
          <w:snapToGrid/>
          <w:kern w:val="21"/>
          <w:sz w:val="44"/>
          <w:szCs w:val="44"/>
        </w:rPr>
        <w:t>独角兽企业认定管理办法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/>
          <w:b/>
          <w:bCs/>
          <w:snapToGrid/>
          <w:kern w:val="21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napToGrid/>
          <w:kern w:val="21"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bCs/>
          <w:snapToGrid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ascii="黑体" w:hAnsi="黑体" w:eastAsia="黑体"/>
          <w:bCs/>
          <w:snapToGrid/>
          <w:kern w:val="21"/>
          <w:sz w:val="32"/>
          <w:szCs w:val="32"/>
        </w:rPr>
      </w:pPr>
      <w:r>
        <w:rPr>
          <w:rFonts w:hint="eastAsia" w:ascii="黑体" w:hAnsi="黑体" w:eastAsia="黑体"/>
          <w:bCs/>
          <w:snapToGrid/>
          <w:kern w:val="21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/>
          <w:bCs/>
          <w:snapToGrid/>
          <w:kern w:val="21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第一条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为落实省委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省政府《关于支持非公有制经济健康发展的十条意见》（鲁发〔2017〕21号）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《关于印发山东省新旧动能转换重大工程实施规划的通知》（鲁政发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）和《关于支持民营经济高质量发展的若干意见》（鲁政发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26号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）等文件精神，进一步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规范瞪羚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独角兽企业的认定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工作，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提高开展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企业培育行动的精准度和实效性，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第二条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本办法所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称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是指在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山东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省境内合法合规生产经营，已经跨越创业期死亡谷，以新技术、新业态、新模式为支撑稳步进入高成长期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综合效益突出、行业影响力大、社会诚信度高、示范带动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性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强，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引领中小企业转型升级和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促进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民营经济发展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中作用明显、成效显著的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优秀标杆企业。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第三条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独角兽企业的申报，遵从自愿的原则，由企业自主申报。省工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业和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息化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厅会同有关部门进行认定管理，并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牵头协调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给予政策支持和培育扶持。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bCs/>
          <w:snapToGrid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ascii="黑体" w:hAnsi="黑体" w:eastAsia="黑体"/>
          <w:bCs/>
          <w:snapToGrid/>
          <w:kern w:val="21"/>
          <w:sz w:val="32"/>
          <w:szCs w:val="32"/>
        </w:rPr>
      </w:pPr>
      <w:r>
        <w:rPr>
          <w:rFonts w:hint="eastAsia" w:ascii="黑体" w:hAnsi="黑体" w:eastAsia="黑体"/>
          <w:bCs/>
          <w:snapToGrid/>
          <w:kern w:val="21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/>
          <w:bCs/>
          <w:snapToGrid/>
          <w:kern w:val="21"/>
          <w:sz w:val="32"/>
          <w:szCs w:val="32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第四条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申报瞪羚企业需满足以下基本条件：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1.申报主体为在山东省内注册，经营纳税及信用情况良好的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独立法人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企业。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2.产业领域符合国家和省战略发展方向，涵盖战略新兴产业、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新旧动能转换“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十强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产业等领域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，积极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发展新技术、新产业、新业态、新模式。具体支持范围根据国家和省工作部署及全省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中小企业创新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发展重点，由当年度申报通知确定。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3.申报企业需持续经营三年以上（满三个会计年度），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为非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上市公司控股或并购的企业，且尚未在境内外股票市场（新三板及各类非主板股权交易市场除外）上市。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4.成长性指标：企业上年度营收在500万元至1000万元，近两年营收或利润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总额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复合增长率达到30%；企业上年度营收在1000万至1亿元，近两年营收或利润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总额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复合增长率达到20%；上年度营收在1亿至4亿元，近两年营收或利润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总额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复合增长率达到15%；上年度营收在4亿以上，近两年营收或利润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总额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复合增长率达到10%。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5.创新能力指标：企业上年度营收在1亿元及以上的，近两年平均研发投入强度（R&amp;D）应达到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.5%，收入1亿元以下的，近两年平均研发投入强度需达到5%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。同时，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企业至少拥有发明专利授权2件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取得实用新型专利、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软件著作权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或主导制定国际标准、国家标准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或行业标准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1项。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主导产品和技术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符合《工业“四基”发展目录》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所列重点领域，从事细分产品市场属于制造业核心基础零部件、先进基础工艺和关键基础材料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的企业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符合成长性指标条件，满足创新能力指标条件的优先入选。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6.企业信用指标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参照《中国人民银行信用评级管理指导意见》、《信贷市场和银行间债券市场信用评级规范》，由独立第三方权威信用评级机构对企业进行的综合信用评分，分值不低于75分。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 xml:space="preserve">第五条 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申报独角兽企业，除满足瞪羚企业的基本条件外，还须满足以下条件：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企业成立或转型时间不超过10年，最近一轮融资估值大于10亿美元，企业信用评分分值大于85分。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bCs/>
          <w:snapToGrid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ascii="黑体" w:hAnsi="黑体" w:eastAsia="黑体"/>
          <w:bCs/>
          <w:snapToGrid/>
          <w:kern w:val="21"/>
          <w:sz w:val="32"/>
          <w:szCs w:val="32"/>
        </w:rPr>
      </w:pPr>
      <w:r>
        <w:rPr>
          <w:rFonts w:hint="eastAsia" w:ascii="黑体" w:hAnsi="黑体" w:eastAsia="黑体"/>
          <w:bCs/>
          <w:snapToGrid/>
          <w:kern w:val="21"/>
          <w:sz w:val="32"/>
          <w:szCs w:val="32"/>
          <w:lang w:val="en-US" w:eastAsia="zh-CN"/>
        </w:rPr>
        <w:t xml:space="preserve">第三章  </w:t>
      </w:r>
      <w:r>
        <w:rPr>
          <w:rFonts w:hint="eastAsia" w:ascii="黑体" w:hAnsi="黑体" w:eastAsia="黑体"/>
          <w:bCs/>
          <w:snapToGrid/>
          <w:kern w:val="21"/>
          <w:sz w:val="32"/>
          <w:szCs w:val="32"/>
        </w:rPr>
        <w:t>认定程序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  <w:lang w:eastAsia="zh-CN"/>
        </w:rPr>
        <w:t>第六条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省工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业和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息化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厅负责全省瞪羚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独角兽等高成长企业的培育认定和管理工作。每年组织一次申报，会同省有关部门下达年度申报通知，提出具体要求。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  <w:lang w:eastAsia="zh-CN"/>
        </w:rPr>
        <w:t>第七条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各市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中小企业主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管部门负责本地区企业的宣传发动，材料受理、审核与推荐工作。符合基本认定条件的企业，按照当年度申报通知要求，向企业注册地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中小企业主管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部门自愿申报。各市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中小企业主管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部门会同相关部门，对企业材料进行真实性、完整性审核，遴选汇总后以正式文件推荐上报省工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业和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息化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  <w:lang w:eastAsia="zh-CN"/>
        </w:rPr>
        <w:t>第八条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省工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业和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息化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厅委托第三方专业机构对企业申报材料的合规性、完整性进行独立审查；组织产业、财税、金融、投资等方面专家组成专家组，对申请参评企业进行专家评审；对拟评定为独角兽企业的组织专家进行尽职调查；根据审查、评审和调查情况，研究确定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独角兽企业初选名单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组织省有关部门对初选名单进行联合终审，形成本年度拟认定的瞪羚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独角兽企业终审名单，向社会进行公示。公示无异议后，省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工业和信息化厅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会同有关部门发布年度山东省瞪羚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独角兽企业名单。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bCs/>
          <w:snapToGrid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ascii="黑体" w:hAnsi="黑体" w:eastAsia="黑体"/>
          <w:bCs/>
          <w:snapToGrid/>
          <w:kern w:val="21"/>
          <w:sz w:val="32"/>
          <w:szCs w:val="32"/>
        </w:rPr>
      </w:pPr>
      <w:r>
        <w:rPr>
          <w:rFonts w:hint="eastAsia" w:ascii="黑体" w:hAnsi="黑体" w:eastAsia="黑体"/>
          <w:bCs/>
          <w:snapToGrid/>
          <w:kern w:val="21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/>
          <w:bCs/>
          <w:snapToGrid/>
          <w:kern w:val="21"/>
          <w:sz w:val="32"/>
          <w:szCs w:val="32"/>
        </w:rPr>
        <w:t>奖励与扶持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第九条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企业初次评定为瞪羚企业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，省财政给予最高50万元的一次性资金奖励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评定为独角兽企业的，省财政给予300万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的一次性资金奖励。鼓励市、县政府给予配套奖励。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获得认定的瞪羚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独角兽企业可在山东省内获得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基金、股权融资、瞪羚快贷、瞪羚信用贷等多种优惠政策支持，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具体优惠政策以人民银行济南分行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及各家金融机构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有关文件为准。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/>
          <w:bCs/>
          <w:snapToGrid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ascii="黑体" w:hAnsi="黑体" w:eastAsia="黑体"/>
          <w:snapToGrid/>
          <w:kern w:val="21"/>
          <w:sz w:val="32"/>
          <w:szCs w:val="32"/>
        </w:rPr>
      </w:pPr>
      <w:r>
        <w:rPr>
          <w:rFonts w:hint="eastAsia" w:ascii="黑体" w:hAnsi="黑体" w:eastAsia="黑体"/>
          <w:bCs/>
          <w:snapToGrid/>
          <w:kern w:val="21"/>
          <w:sz w:val="32"/>
          <w:szCs w:val="32"/>
          <w:lang w:val="en-US" w:eastAsia="zh-CN"/>
        </w:rPr>
        <w:t xml:space="preserve">第五章  </w:t>
      </w:r>
      <w:r>
        <w:rPr>
          <w:rFonts w:hint="eastAsia" w:ascii="黑体" w:hAnsi="黑体" w:eastAsia="黑体"/>
          <w:bCs/>
          <w:snapToGrid/>
          <w:kern w:val="21"/>
          <w:sz w:val="32"/>
          <w:szCs w:val="32"/>
        </w:rPr>
        <w:t>管理与服务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第十一条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认定的瞪羚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独角兽企业实行动态管理，认定有效期3年，到期后企业可申请复审或重新申报，需达到的条件、提供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材料及认定程序与当年度企业评审要求相同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，评审达标的继续保留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独角兽企业资格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，不再发放财政奖补资金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第十二条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企业获得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认定后，自动进入“山东省瞪羚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独角兽企业培育库”，省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工业和信息化厅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委托相关机构对入库企业进行监测评估；为入库企业搭建高管培训、合作交流、管理咨询、市场拓展、数字赋能以及产学研用深度合作平台；组织库内企业到先进地区、优秀企业考察学习；根据入库企业需求，在宣传推介、企业培训、投融资、产业协同、人才及法律服务等方面提供全方位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第十三条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积极争取财政、科技、金融、人社、税务等部门对入库企业在技术研发、上市培育、融资服务、社保缴纳、人才政策、税费减免等方面予以政策倾斜。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第十四条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对于在认定有效期内已不能满足瞪羚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独角兽企业基本条件的，经企业自行申请或经检查、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核实后，公告撤销瞪羚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独角兽企业资格，移出“山东省瞪羚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独角兽企业培育库”并取消相关待遇。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第十五条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</w:t>
      </w:r>
      <w:r>
        <w:rPr>
          <w:rFonts w:hint="eastAsia" w:ascii="仿宋" w:hAnsi="仿宋" w:eastAsia="仿宋"/>
          <w:snapToGrid/>
          <w:kern w:val="2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申报过程中有弄虚作假和截留、挪用、挤占、骗取资金行为的企业，一经查实，取消企业当年申报资格，已经被认定的企业移出培育库、收回奖金并计入企业诚信记录，三年内不得再申报。情节严重的依法追究有关单位及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1"/>
          <w:sz w:val="32"/>
          <w:szCs w:val="32"/>
        </w:rPr>
        <w:t>第十六条</w:t>
      </w:r>
      <w:r>
        <w:rPr>
          <w:rFonts w:hint="eastAsia" w:ascii="仿宋" w:hAnsi="仿宋" w:eastAsia="仿宋"/>
          <w:snapToGrid/>
          <w:kern w:val="2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本办法自2020年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日起施行，有效期至202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日。由山东省工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业和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信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  <w:lang w:eastAsia="zh-CN"/>
        </w:rPr>
        <w:t>息化</w:t>
      </w:r>
      <w:r>
        <w:rPr>
          <w:rFonts w:hint="eastAsia" w:ascii="仿宋_GB2312" w:hAnsi="仿宋_GB2312" w:eastAsia="仿宋_GB2312" w:cs="仿宋_GB2312"/>
          <w:snapToGrid/>
          <w:kern w:val="21"/>
          <w:sz w:val="32"/>
          <w:szCs w:val="32"/>
        </w:rPr>
        <w:t>厅负责解释。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6A"/>
    <w:rsid w:val="00022421"/>
    <w:rsid w:val="00040299"/>
    <w:rsid w:val="00121F45"/>
    <w:rsid w:val="002A236A"/>
    <w:rsid w:val="002D13D3"/>
    <w:rsid w:val="004A2CB1"/>
    <w:rsid w:val="004F6D34"/>
    <w:rsid w:val="005B7B4D"/>
    <w:rsid w:val="00632319"/>
    <w:rsid w:val="00673B15"/>
    <w:rsid w:val="006F632D"/>
    <w:rsid w:val="00807CBC"/>
    <w:rsid w:val="008F566B"/>
    <w:rsid w:val="0091512A"/>
    <w:rsid w:val="00961EA8"/>
    <w:rsid w:val="009F45B3"/>
    <w:rsid w:val="00BD10C0"/>
    <w:rsid w:val="00BF0541"/>
    <w:rsid w:val="00E65C2E"/>
    <w:rsid w:val="00E86660"/>
    <w:rsid w:val="00ED4856"/>
    <w:rsid w:val="00F32E71"/>
    <w:rsid w:val="00FE19E8"/>
    <w:rsid w:val="06F076BE"/>
    <w:rsid w:val="081F718D"/>
    <w:rsid w:val="10EF3D3C"/>
    <w:rsid w:val="110452C7"/>
    <w:rsid w:val="20E32C4B"/>
    <w:rsid w:val="224045FA"/>
    <w:rsid w:val="2B120870"/>
    <w:rsid w:val="345B47C8"/>
    <w:rsid w:val="374805FA"/>
    <w:rsid w:val="376B3B37"/>
    <w:rsid w:val="385248D7"/>
    <w:rsid w:val="3B9C5ECD"/>
    <w:rsid w:val="3DE13FC6"/>
    <w:rsid w:val="40B078D5"/>
    <w:rsid w:val="44E7516D"/>
    <w:rsid w:val="46123039"/>
    <w:rsid w:val="4EC10724"/>
    <w:rsid w:val="54BA1068"/>
    <w:rsid w:val="54E0177E"/>
    <w:rsid w:val="59130252"/>
    <w:rsid w:val="5B691E10"/>
    <w:rsid w:val="5C94152E"/>
    <w:rsid w:val="620F5F97"/>
    <w:rsid w:val="63D66A03"/>
    <w:rsid w:val="649B3ED7"/>
    <w:rsid w:val="69721A90"/>
    <w:rsid w:val="6A166CD5"/>
    <w:rsid w:val="6F195955"/>
    <w:rsid w:val="70152DDF"/>
    <w:rsid w:val="73EB17CB"/>
    <w:rsid w:val="75E13B3B"/>
    <w:rsid w:val="783B5AF8"/>
    <w:rsid w:val="78BB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unhideWhenUsed/>
    <w:qFormat/>
    <w:uiPriority w:val="99"/>
  </w:style>
  <w:style w:type="character" w:customStyle="1" w:styleId="15">
    <w:name w:val="sugg-loading"/>
    <w:basedOn w:val="6"/>
    <w:qFormat/>
    <w:uiPriority w:val="0"/>
  </w:style>
  <w:style w:type="character" w:customStyle="1" w:styleId="16">
    <w:name w:val="hover14"/>
    <w:basedOn w:val="6"/>
    <w:qFormat/>
    <w:uiPriority w:val="0"/>
  </w:style>
  <w:style w:type="character" w:customStyle="1" w:styleId="17">
    <w:name w:val="hover1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368</Words>
  <Characters>2101</Characters>
  <Lines>17</Lines>
  <Paragraphs>4</Paragraphs>
  <TotalTime>20</TotalTime>
  <ScaleCrop>false</ScaleCrop>
  <LinksUpToDate>false</LinksUpToDate>
  <CharactersWithSpaces>2465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2020-06-12T02:52:00Z</dcterms:created>
  <dc:creator>Dafeng</dc:creator>
  <cp:lastModifiedBy>万吉良</cp:lastModifiedBy>
  <cp:lastPrinted>2020-06-19T04:19:00Z</cp:lastPrinted>
  <dcterms:modified xsi:type="dcterms:W3CDTF">2020-07-03T07:43:08Z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