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37" w:rsidRDefault="00FA771B">
      <w:pPr>
        <w:tabs>
          <w:tab w:val="left" w:pos="7655"/>
          <w:tab w:val="left" w:pos="7797"/>
        </w:tabs>
        <w:spacing w:line="600" w:lineRule="exact"/>
        <w:jc w:val="left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附件</w:t>
      </w:r>
    </w:p>
    <w:p w:rsidR="000D7D37" w:rsidRDefault="00FA771B">
      <w:pPr>
        <w:tabs>
          <w:tab w:val="left" w:pos="7655"/>
          <w:tab w:val="left" w:pos="7797"/>
        </w:tabs>
        <w:spacing w:line="600" w:lineRule="exact"/>
        <w:jc w:val="center"/>
        <w:rPr>
          <w:rFonts w:eastAsia="方正小标宋简体"/>
          <w:b/>
          <w:sz w:val="48"/>
          <w:szCs w:val="48"/>
        </w:rPr>
      </w:pPr>
      <w:r>
        <w:rPr>
          <w:rFonts w:eastAsia="方正小标宋简体" w:hint="eastAsia"/>
          <w:bCs/>
          <w:sz w:val="48"/>
          <w:szCs w:val="48"/>
        </w:rPr>
        <w:t>中央</w:t>
      </w:r>
      <w:r>
        <w:rPr>
          <w:rFonts w:eastAsia="方正小标宋简体" w:hint="eastAsia"/>
          <w:bCs/>
          <w:sz w:val="48"/>
          <w:szCs w:val="48"/>
        </w:rPr>
        <w:t>生态环境保护</w:t>
      </w:r>
      <w:r>
        <w:rPr>
          <w:rFonts w:eastAsia="方正小标宋简体" w:hint="eastAsia"/>
          <w:bCs/>
          <w:sz w:val="48"/>
          <w:szCs w:val="48"/>
        </w:rPr>
        <w:t>督察反馈意见（第</w:t>
      </w:r>
      <w:r>
        <w:rPr>
          <w:rFonts w:eastAsia="方正小标宋简体" w:hint="eastAsia"/>
          <w:bCs/>
          <w:sz w:val="48"/>
          <w:szCs w:val="48"/>
        </w:rPr>
        <w:t>22</w:t>
      </w:r>
      <w:r>
        <w:rPr>
          <w:rFonts w:eastAsia="方正小标宋简体" w:hint="eastAsia"/>
          <w:bCs/>
          <w:sz w:val="48"/>
          <w:szCs w:val="48"/>
        </w:rPr>
        <w:t>项）整改情况</w:t>
      </w:r>
    </w:p>
    <w:tbl>
      <w:tblPr>
        <w:tblW w:w="13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1622"/>
        <w:gridCol w:w="2247"/>
        <w:gridCol w:w="3870"/>
        <w:gridCol w:w="4887"/>
      </w:tblGrid>
      <w:tr w:rsidR="000D7D37">
        <w:trPr>
          <w:trHeight w:val="516"/>
          <w:jc w:val="center"/>
        </w:trPr>
        <w:tc>
          <w:tcPr>
            <w:tcW w:w="951" w:type="dxa"/>
            <w:vAlign w:val="center"/>
          </w:tcPr>
          <w:p w:rsidR="000D7D37" w:rsidRDefault="00FA771B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问题编号</w:t>
            </w:r>
          </w:p>
        </w:tc>
        <w:tc>
          <w:tcPr>
            <w:tcW w:w="1622" w:type="dxa"/>
            <w:vAlign w:val="center"/>
          </w:tcPr>
          <w:p w:rsidR="000D7D37" w:rsidRDefault="00FA771B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反馈问题</w:t>
            </w:r>
          </w:p>
        </w:tc>
        <w:tc>
          <w:tcPr>
            <w:tcW w:w="2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D37" w:rsidRDefault="00FA771B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整改目标</w:t>
            </w:r>
          </w:p>
        </w:tc>
        <w:tc>
          <w:tcPr>
            <w:tcW w:w="3870" w:type="dxa"/>
            <w:vAlign w:val="center"/>
          </w:tcPr>
          <w:p w:rsidR="000D7D37" w:rsidRDefault="00FA771B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整改措施</w:t>
            </w:r>
          </w:p>
        </w:tc>
        <w:tc>
          <w:tcPr>
            <w:tcW w:w="4887" w:type="dxa"/>
            <w:vAlign w:val="center"/>
          </w:tcPr>
          <w:p w:rsidR="000D7D37" w:rsidRDefault="00FA771B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整改完成情况</w:t>
            </w: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 w:val="restart"/>
            <w:vAlign w:val="center"/>
          </w:tcPr>
          <w:p w:rsidR="000D7D37" w:rsidRDefault="00FA771B">
            <w:pPr>
              <w:spacing w:line="2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622" w:type="dxa"/>
            <w:vMerge w:val="restart"/>
            <w:vAlign w:val="center"/>
          </w:tcPr>
          <w:p w:rsidR="000D7D37" w:rsidRDefault="00FA771B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年以来，潍坊市寿光侯镇海洋化工园、临沂市沂水庐山化工园、滨州工业园区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等突破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城市总体规划范围，分别建设了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个化工项目。</w:t>
            </w:r>
          </w:p>
        </w:tc>
        <w:tc>
          <w:tcPr>
            <w:tcW w:w="22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D37" w:rsidRDefault="00FA771B">
            <w:pPr>
              <w:spacing w:line="2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严格园区规划管理，严控入园项目，建立规范有序的园区规划调整和实施程序，维护规划的权威性和严肃性。</w:t>
            </w:r>
          </w:p>
        </w:tc>
        <w:tc>
          <w:tcPr>
            <w:tcW w:w="3870" w:type="dxa"/>
            <w:vMerge w:val="restart"/>
            <w:vAlign w:val="center"/>
          </w:tcPr>
          <w:p w:rsidR="000D7D37" w:rsidRDefault="00FA771B">
            <w:pPr>
              <w:pStyle w:val="a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严格化工园区认定，规范项目管理。对照中央环保督察反馈的三个园区的问题，举一反三，对各市已公布的化工园区进行全面摸底排查。严格按照《山东省化工园区认定管理办法》规定，重新核查园区的总体发展规划，是否与所在市或县（市、区）规划（主体功能区规划、城乡规划、土地利用规划、生态环境保护规划等）相符，满足生态保护红线、环境质量底线、资源利用上限和环境准入负面清单、山东省渤海黄海海洋生态红线等相关要求。对于不符合要求的园区，一律不予认定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底前，基本完成化工园区认定工作。同时，严格按照《山东省化工投资项目管理暂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行规定要求》，审批或核准新建、改建和扩建化工项目。</w:t>
            </w:r>
          </w:p>
        </w:tc>
        <w:tc>
          <w:tcPr>
            <w:tcW w:w="48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7D37" w:rsidRDefault="00FA771B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是严把园区准入关口。印发实施《关于组织开展化工园区认定申报工作的通知》，严格按照《山东省化工园区认定管理办法》，对现有化工园区全部进行重新认定，在园区认定过程中，将符合总体发展规划等各类规划以及生态环境保护各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类要求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列为否决项，不能通过的，一律不予认定。</w:t>
            </w:r>
          </w:p>
          <w:p w:rsidR="000D7D37" w:rsidRDefault="00FA771B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二是深入组织园区认定。省政府累计认定公布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家化工园区和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家重点监控点，园区认定工作全面完成。</w:t>
            </w:r>
          </w:p>
          <w:p w:rsidR="000D7D37" w:rsidRDefault="00FA771B">
            <w:pPr>
              <w:spacing w:line="2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三是规范项目管理。以省政府办公厅名义印发实施《关于印发山东省化工投资项目管理暂行规定的通知》，组织各市严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格化工项目管理，对不符合规定的一律不予审批。</w:t>
            </w:r>
          </w:p>
        </w:tc>
      </w:tr>
      <w:bookmarkEnd w:id="0"/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D7D37">
        <w:trPr>
          <w:trHeight w:val="312"/>
          <w:jc w:val="center"/>
        </w:trPr>
        <w:tc>
          <w:tcPr>
            <w:tcW w:w="951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22" w:type="dxa"/>
            <w:vMerge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47" w:type="dxa"/>
            <w:vMerge/>
          </w:tcPr>
          <w:p w:rsidR="000D7D37" w:rsidRDefault="000D7D3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0D7D37" w:rsidRDefault="000D7D3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0D7D37" w:rsidRDefault="000D7D37"/>
    <w:sectPr w:rsidR="000D7D3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F"/>
    <w:rsid w:val="00033F82"/>
    <w:rsid w:val="000D7D37"/>
    <w:rsid w:val="00FA771B"/>
    <w:rsid w:val="00FF271F"/>
    <w:rsid w:val="0274413B"/>
    <w:rsid w:val="02FE4CB8"/>
    <w:rsid w:val="14E3067C"/>
    <w:rsid w:val="15731B04"/>
    <w:rsid w:val="27E40B43"/>
    <w:rsid w:val="2ED32125"/>
    <w:rsid w:val="35D073B4"/>
    <w:rsid w:val="37C91B72"/>
    <w:rsid w:val="3A5271F8"/>
    <w:rsid w:val="41196C98"/>
    <w:rsid w:val="42576BF4"/>
    <w:rsid w:val="4B1E2F9A"/>
    <w:rsid w:val="4C11154E"/>
    <w:rsid w:val="4F49623F"/>
    <w:rsid w:val="50360431"/>
    <w:rsid w:val="52CA4F40"/>
    <w:rsid w:val="52F0282A"/>
    <w:rsid w:val="53B26CF8"/>
    <w:rsid w:val="555857AF"/>
    <w:rsid w:val="55EE1E6B"/>
    <w:rsid w:val="564C6FC6"/>
    <w:rsid w:val="589954B5"/>
    <w:rsid w:val="613D2172"/>
    <w:rsid w:val="6F513595"/>
    <w:rsid w:val="769656FF"/>
    <w:rsid w:val="76F041C5"/>
    <w:rsid w:val="7D4B58B6"/>
    <w:rsid w:val="7DD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2C466C-93D9-4A18-B7D6-071DE237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uiPriority w:val="99"/>
    <w:qFormat/>
    <w:pPr>
      <w:keepNext/>
      <w:keepLines/>
      <w:spacing w:before="100" w:beforeAutospacing="1" w:after="100" w:afterAutospacing="1"/>
      <w:ind w:left="851" w:hanging="851"/>
      <w:outlineLvl w:val="4"/>
    </w:pPr>
    <w:rPr>
      <w:rFonts w:cs="宋体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table" w:styleId="a4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HP Inc.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2021-07-02T03:15:00Z</cp:lastPrinted>
  <dcterms:created xsi:type="dcterms:W3CDTF">2021-07-02T08:26:00Z</dcterms:created>
  <dcterms:modified xsi:type="dcterms:W3CDTF">2021-07-02T08:26:00Z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