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55"/>
          <w:tab w:val="left" w:pos="7797"/>
        </w:tabs>
        <w:spacing w:line="600" w:lineRule="exact"/>
        <w:jc w:val="left"/>
        <w:rPr>
          <w:rFonts w:ascii="黑体" w:hAnsi="黑体" w:eastAsia="黑体"/>
          <w:sz w:val="32"/>
          <w:szCs w:val="32"/>
        </w:rPr>
      </w:pPr>
      <w:r>
        <w:rPr>
          <w:rFonts w:hint="eastAsia" w:ascii="黑体" w:hAnsi="黑体" w:eastAsia="黑体"/>
          <w:sz w:val="32"/>
          <w:szCs w:val="32"/>
        </w:rPr>
        <w:t>附件</w:t>
      </w:r>
    </w:p>
    <w:p>
      <w:pPr>
        <w:tabs>
          <w:tab w:val="left" w:pos="7655"/>
          <w:tab w:val="left" w:pos="7797"/>
        </w:tabs>
        <w:spacing w:line="600" w:lineRule="exact"/>
        <w:jc w:val="center"/>
      </w:pPr>
      <w:r>
        <w:rPr>
          <w:rFonts w:hint="eastAsia" w:eastAsia="方正小标宋简体"/>
          <w:bCs/>
          <w:sz w:val="48"/>
          <w:szCs w:val="48"/>
        </w:rPr>
        <w:t>中央生态环境保护督察反馈意见（序号</w:t>
      </w:r>
      <w:r>
        <w:rPr>
          <w:rFonts w:hint="default" w:eastAsia="方正小标宋简体"/>
          <w:bCs/>
          <w:sz w:val="48"/>
          <w:szCs w:val="48"/>
          <w:lang w:val="en-US"/>
        </w:rPr>
        <w:t>25</w:t>
      </w:r>
      <w:r>
        <w:rPr>
          <w:rFonts w:hint="eastAsia" w:eastAsia="方正小标宋简体"/>
          <w:bCs/>
          <w:sz w:val="48"/>
          <w:szCs w:val="48"/>
        </w:rPr>
        <w:t>）整改情况</w:t>
      </w:r>
    </w:p>
    <w:tbl>
      <w:tblPr>
        <w:tblStyle w:val="3"/>
        <w:tblW w:w="13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5"/>
        <w:gridCol w:w="2365"/>
        <w:gridCol w:w="1766"/>
        <w:gridCol w:w="4479"/>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1" w:hRule="atLeast"/>
          <w:jc w:val="center"/>
        </w:trPr>
        <w:tc>
          <w:tcPr>
            <w:tcW w:w="665" w:type="dxa"/>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问题</w:t>
            </w:r>
          </w:p>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编号</w:t>
            </w:r>
          </w:p>
        </w:tc>
        <w:tc>
          <w:tcPr>
            <w:tcW w:w="2365" w:type="dxa"/>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反馈问题</w:t>
            </w:r>
          </w:p>
        </w:tc>
        <w:tc>
          <w:tcPr>
            <w:tcW w:w="1766" w:type="dxa"/>
            <w:tcMar>
              <w:top w:w="0" w:type="dxa"/>
              <w:left w:w="28" w:type="dxa"/>
              <w:bottom w:w="0" w:type="dxa"/>
              <w:right w:w="28" w:type="dxa"/>
            </w:tcMar>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sz w:val="28"/>
                <w:szCs w:val="28"/>
              </w:rPr>
              <w:t>整改目标</w:t>
            </w:r>
          </w:p>
        </w:tc>
        <w:tc>
          <w:tcPr>
            <w:tcW w:w="4479" w:type="dxa"/>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整改措施</w:t>
            </w:r>
          </w:p>
        </w:tc>
        <w:tc>
          <w:tcPr>
            <w:tcW w:w="4482" w:type="dxa"/>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3" w:hRule="atLeast"/>
          <w:jc w:val="center"/>
        </w:trPr>
        <w:tc>
          <w:tcPr>
            <w:tcW w:w="665" w:type="dxa"/>
            <w:vAlign w:val="center"/>
          </w:tcPr>
          <w:p>
            <w:pPr>
              <w:spacing w:line="27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365" w:type="dxa"/>
            <w:vAlign w:val="center"/>
          </w:tcPr>
          <w:p>
            <w:pPr>
              <w:spacing w:line="270" w:lineRule="exact"/>
              <w:jc w:val="both"/>
              <w:rPr>
                <w:rFonts w:ascii="Times New Roman" w:hAnsi="Times New Roman" w:eastAsia="仿宋_GB2312" w:cs="Times New Roman"/>
                <w:kern w:val="0"/>
                <w:szCs w:val="21"/>
              </w:rPr>
            </w:pPr>
            <w:r>
              <w:rPr>
                <w:rFonts w:hint="eastAsia" w:ascii="仿宋_GB2312" w:hAnsi="仿宋_GB2312" w:eastAsia="仿宋_GB2312" w:cs="仿宋_GB2312"/>
                <w:sz w:val="24"/>
                <w:szCs w:val="24"/>
              </w:rPr>
              <w:t>聊城市相关部门违规推进电解铝项目建设。国家《关于坚决遏制产能严重过剩行业盲目扩张的通知》要求坚决停建电解铝行业违规在建项目。但2014年5月聊城市发展改革委、经济和信息化委等部门提供虚假材料,将刚刚动工的茌平信源铝业有限公司年产45万吨电解铝项目虚报为建成项目</w:t>
            </w:r>
            <w:r>
              <w:rPr>
                <w:rFonts w:hint="default" w:ascii="仿宋_GB2312" w:hAnsi="仿宋_GB2312" w:eastAsia="仿宋_GB2312" w:cs="仿宋_GB2312"/>
                <w:sz w:val="24"/>
                <w:szCs w:val="24"/>
                <w:lang w:val="en-US"/>
              </w:rPr>
              <w:t>,</w:t>
            </w:r>
            <w:r>
              <w:rPr>
                <w:rFonts w:hint="eastAsia" w:ascii="仿宋_GB2312" w:hAnsi="仿宋_GB2312" w:eastAsia="仿宋_GB2312" w:cs="仿宋_GB2312"/>
                <w:sz w:val="24"/>
                <w:szCs w:val="24"/>
              </w:rPr>
              <w:t>2014年11月工业和信息化部对该企业现场核查时,聊城市经济和信息化委员会弄虚作假,以已建成的电解铝项目顶替该项目接受检查,至2016年7月实际建成投产电解铝产能104万吨。</w:t>
            </w:r>
          </w:p>
        </w:tc>
        <w:tc>
          <w:tcPr>
            <w:tcW w:w="1766" w:type="dxa"/>
            <w:tcMar>
              <w:top w:w="0" w:type="dxa"/>
              <w:left w:w="28" w:type="dxa"/>
              <w:bottom w:w="0" w:type="dxa"/>
              <w:right w:w="28" w:type="dxa"/>
            </w:tcMar>
            <w:vAlign w:val="center"/>
          </w:tcPr>
          <w:p>
            <w:pPr>
              <w:jc w:val="both"/>
              <w:rPr>
                <w:rFonts w:ascii="Times New Roman" w:hAnsi="Times New Roman" w:eastAsia="仿宋_GB2312" w:cs="Times New Roman"/>
                <w:kern w:val="0"/>
                <w:szCs w:val="21"/>
              </w:rPr>
            </w:pPr>
            <w:r>
              <w:rPr>
                <w:rFonts w:hint="eastAsia" w:ascii="仿宋_GB2312" w:hAnsi="仿宋_GB2312" w:eastAsia="仿宋_GB2312" w:cs="仿宋_GB2312"/>
                <w:sz w:val="24"/>
                <w:szCs w:val="24"/>
              </w:rPr>
              <w:t>严格执行《关于贯彻落实国家专项抽查要求进一步推进清理整顿电解铝行业违法违规项目工作的通知》(鲁发改工业(2017)1096号)要求,将合规产能158万吨以外的违规建设产能53.05万吨全部关停、封存;提高电解铝行业规范管理水平,促进电解铝行业健康发展。</w:t>
            </w:r>
          </w:p>
        </w:tc>
        <w:tc>
          <w:tcPr>
            <w:tcW w:w="4479" w:type="dxa"/>
            <w:vAlign w:val="center"/>
          </w:tcPr>
          <w:p>
            <w:pPr>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按照国家清理整顿电解铝违法违规项目专项行动要求,配合省发改委将信发集团合规产能158万吨以外的违规产能全部关停、封存。截至2017年7月28日,信发集团已经关停违规电解铝产能53.05万吨,已经按照国家发改委等部门要求完成关停任务。</w:t>
            </w:r>
          </w:p>
          <w:p>
            <w:pPr>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配合省发改委建立电解铝产能年度检查报告制度,主要内容包括严管严控电解铝新增产能工作情况、查处违法违规项目情况、上一年度电解铝产能变化情况等,并于每年4月底前将年度检查报告上报国家发改委、工信部。</w:t>
            </w:r>
          </w:p>
          <w:p>
            <w:pPr>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3.严格执行电解铝产能置换政策,凡包含电解工序生产铝液、铝锭等的建设项目,都必须按照工信部原</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4"/>
                <w:szCs w:val="24"/>
              </w:rPr>
              <w:t>2018</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4"/>
                <w:szCs w:val="24"/>
              </w:rPr>
              <w:t>12号文件规定,进行产能置换,严禁以新材料、铝加工等名义逃避产能置换,违法违规新增电解铝产能。</w:t>
            </w:r>
          </w:p>
          <w:p>
            <w:pPr>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4.为进一步推动我省铝产业提质增效升级、持续健康发展,加快推进工业领域新旧动能转换,省经济和信息化委于2017年12月20日,研究制定了《山东省铝产业发展规划(2017—2025年)》。</w:t>
            </w:r>
          </w:p>
          <w:p>
            <w:pPr>
              <w:jc w:val="both"/>
              <w:rPr>
                <w:rFonts w:ascii="Times New Roman" w:hAnsi="Times New Roman" w:eastAsia="仿宋_GB2312" w:cs="Times New Roman"/>
                <w:sz w:val="32"/>
                <w:szCs w:val="32"/>
              </w:rPr>
            </w:pPr>
            <w:r>
              <w:rPr>
                <w:rFonts w:hint="eastAsia" w:ascii="Times New Roman" w:hAnsi="Times New Roman" w:eastAsia="仿宋_GB2312" w:cs="Times New Roman"/>
                <w:kern w:val="0"/>
                <w:sz w:val="24"/>
                <w:szCs w:val="24"/>
              </w:rPr>
              <w:t>5.每年采暖季期间,严格执行电解铝行业的错峰生产,确电解铝错峰生产工作平稳有序开展。</w:t>
            </w:r>
          </w:p>
        </w:tc>
        <w:tc>
          <w:tcPr>
            <w:tcW w:w="4482" w:type="dxa"/>
            <w:tcMar>
              <w:top w:w="0" w:type="dxa"/>
              <w:left w:w="28" w:type="dxa"/>
              <w:bottom w:w="0" w:type="dxa"/>
              <w:right w:w="28" w:type="dxa"/>
            </w:tcMar>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1、截至2017年7月28日,督促聊城市政府关停信发集团违规电解铝产能53.05万吨</w:t>
            </w:r>
            <w:r>
              <w:rPr>
                <w:rFonts w:hint="default"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val="en-US" w:eastAsia="zh-CN"/>
              </w:rPr>
              <w:t>并对相关责任人进行了严肃处理。</w:t>
            </w:r>
          </w:p>
          <w:p>
            <w:pPr>
              <w:jc w:val="both"/>
              <w:rPr>
                <w:rFonts w:ascii="Times New Roman" w:hAnsi="Times New Roman" w:eastAsia="仿宋_GB2312" w:cs="Times New Roman"/>
                <w:kern w:val="0"/>
                <w:szCs w:val="21"/>
              </w:rPr>
            </w:pPr>
            <w:r>
              <w:rPr>
                <w:rFonts w:hint="eastAsia" w:ascii="仿宋_GB2312" w:hAnsi="仿宋_GB2312" w:eastAsia="仿宋_GB2312" w:cs="仿宋_GB2312"/>
                <w:color w:val="auto"/>
                <w:sz w:val="24"/>
                <w:szCs w:val="24"/>
                <w:lang w:val="en-US" w:eastAsia="zh-CN"/>
              </w:rPr>
              <w:t>2、2018年10月11日,省发展改革委、经信委、国土资源厅、省环保厅联合发文，对聊城市关停违规电</w:t>
            </w:r>
            <w:bookmarkStart w:id="0" w:name="_GoBack"/>
            <w:bookmarkEnd w:id="0"/>
            <w:r>
              <w:rPr>
                <w:rFonts w:hint="eastAsia" w:ascii="仿宋_GB2312" w:hAnsi="仿宋_GB2312" w:eastAsia="仿宋_GB2312" w:cs="仿宋_GB2312"/>
                <w:color w:val="auto"/>
                <w:sz w:val="24"/>
                <w:szCs w:val="24"/>
                <w:lang w:val="en-US" w:eastAsia="zh-CN"/>
              </w:rPr>
              <w:t>解铝产能情况出具了验收报告，认定完成了电解铝违法违规项目清理整顿专项行动确定的各阶段目标任务。</w:t>
            </w:r>
          </w:p>
        </w:tc>
      </w:tr>
    </w:tbl>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01D44"/>
    <w:rsid w:val="38027691"/>
    <w:rsid w:val="46DC659A"/>
    <w:rsid w:val="52FF21FA"/>
    <w:rsid w:val="5FD90AD4"/>
    <w:rsid w:val="7246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2021-07-30T03:00:56Z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